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4023C" w14:paraId="4396788B" w14:textId="77777777" w:rsidTr="00F503D7">
        <w:trPr>
          <w:trHeight w:val="1134"/>
        </w:trPr>
        <w:tc>
          <w:tcPr>
            <w:tcW w:w="10348" w:type="dxa"/>
          </w:tcPr>
          <w:p w14:paraId="24B21D04" w14:textId="77777777" w:rsidR="0054023C" w:rsidRPr="00816498" w:rsidRDefault="0054023C" w:rsidP="0054023C">
            <w:pPr>
              <w:pStyle w:val="berschrift1"/>
              <w:rPr>
                <w:rFonts w:ascii="Old English Text MT" w:hAnsi="Old English Text MT"/>
                <w:b/>
                <w:color w:val="00B0F0"/>
                <w:sz w:val="48"/>
                <w:szCs w:val="48"/>
              </w:rPr>
            </w:pPr>
            <w:r w:rsidRPr="00816498">
              <w:rPr>
                <w:rFonts w:ascii="Old English Text MT" w:hAnsi="Old English Text MT"/>
                <w:b/>
                <w:color w:val="17365D"/>
                <w:sz w:val="48"/>
                <w:szCs w:val="48"/>
              </w:rPr>
              <w:t xml:space="preserve"> </w:t>
            </w:r>
            <w:r w:rsidRPr="00816498">
              <w:rPr>
                <w:rFonts w:ascii="Old English Text MT" w:hAnsi="Old English Text MT"/>
                <w:b/>
                <w:color w:val="00B0F0"/>
                <w:sz w:val="48"/>
                <w:szCs w:val="48"/>
              </w:rPr>
              <w:t>„Altes Land – Festung, Stade, Elbblick“</w:t>
            </w:r>
          </w:p>
          <w:p w14:paraId="7373FBF9" w14:textId="70982DAB" w:rsidR="00F503D7" w:rsidRPr="00F503D7" w:rsidRDefault="00F503D7" w:rsidP="00F503D7">
            <w:pPr>
              <w:jc w:val="center"/>
              <w:rPr>
                <w:rFonts w:ascii="Algerian" w:hAnsi="Algerian"/>
                <w:color w:val="000000" w:themeColor="text1"/>
                <w:sz w:val="32"/>
                <w:szCs w:val="32"/>
              </w:rPr>
            </w:pPr>
            <w:r w:rsidRPr="00F503D7">
              <w:rPr>
                <w:rFonts w:ascii="Algerian" w:hAnsi="Algerian"/>
                <w:color w:val="000000" w:themeColor="text1"/>
                <w:sz w:val="32"/>
                <w:szCs w:val="32"/>
              </w:rPr>
              <w:t xml:space="preserve">Am Sonnabend, den </w:t>
            </w:r>
            <w:r w:rsidR="00230D3F">
              <w:rPr>
                <w:rFonts w:ascii="Algerian" w:hAnsi="Algerian"/>
                <w:color w:val="000000" w:themeColor="text1"/>
                <w:sz w:val="32"/>
                <w:szCs w:val="32"/>
              </w:rPr>
              <w:t>4</w:t>
            </w:r>
            <w:r w:rsidRPr="00F503D7">
              <w:rPr>
                <w:rFonts w:ascii="Algerian" w:hAnsi="Algerian"/>
                <w:color w:val="000000" w:themeColor="text1"/>
                <w:sz w:val="32"/>
                <w:szCs w:val="32"/>
              </w:rPr>
              <w:t>. Mai 2024</w:t>
            </w:r>
          </w:p>
        </w:tc>
      </w:tr>
    </w:tbl>
    <w:p w14:paraId="7E9B3459" w14:textId="77777777" w:rsidR="0054023C" w:rsidRDefault="0054023C" w:rsidP="0054023C"/>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2418"/>
        <w:gridCol w:w="3544"/>
        <w:gridCol w:w="3118"/>
      </w:tblGrid>
      <w:tr w:rsidR="0054023C" w14:paraId="65F1217B" w14:textId="77777777" w:rsidTr="00935719">
        <w:trPr>
          <w:trHeight w:val="23"/>
        </w:trPr>
        <w:tc>
          <w:tcPr>
            <w:tcW w:w="1268" w:type="dxa"/>
          </w:tcPr>
          <w:p w14:paraId="233441F4" w14:textId="77777777" w:rsidR="0054023C" w:rsidRDefault="0054023C" w:rsidP="00883522">
            <w:pPr>
              <w:jc w:val="center"/>
              <w:rPr>
                <w:b/>
                <w:bCs/>
                <w:i/>
                <w:iCs/>
                <w:sz w:val="28"/>
              </w:rPr>
            </w:pPr>
            <w:r>
              <w:rPr>
                <w:b/>
                <w:bCs/>
                <w:i/>
                <w:iCs/>
                <w:sz w:val="28"/>
              </w:rPr>
              <w:t>Zeit</w:t>
            </w:r>
          </w:p>
        </w:tc>
        <w:tc>
          <w:tcPr>
            <w:tcW w:w="2418" w:type="dxa"/>
          </w:tcPr>
          <w:p w14:paraId="26D2FECA" w14:textId="77777777" w:rsidR="0054023C" w:rsidRDefault="0054023C" w:rsidP="00883522">
            <w:pPr>
              <w:jc w:val="center"/>
              <w:rPr>
                <w:b/>
                <w:bCs/>
                <w:i/>
                <w:iCs/>
                <w:sz w:val="28"/>
              </w:rPr>
            </w:pPr>
            <w:r>
              <w:rPr>
                <w:b/>
                <w:bCs/>
                <w:i/>
                <w:iCs/>
                <w:sz w:val="28"/>
              </w:rPr>
              <w:t>Ablauf</w:t>
            </w:r>
          </w:p>
        </w:tc>
        <w:tc>
          <w:tcPr>
            <w:tcW w:w="3544" w:type="dxa"/>
          </w:tcPr>
          <w:p w14:paraId="07855A5C" w14:textId="77777777" w:rsidR="0054023C" w:rsidRDefault="0054023C" w:rsidP="00883522">
            <w:pPr>
              <w:jc w:val="center"/>
              <w:rPr>
                <w:b/>
                <w:bCs/>
                <w:i/>
                <w:iCs/>
                <w:sz w:val="28"/>
              </w:rPr>
            </w:pPr>
            <w:r>
              <w:rPr>
                <w:b/>
                <w:bCs/>
                <w:i/>
                <w:iCs/>
                <w:sz w:val="28"/>
              </w:rPr>
              <w:t>Was?</w:t>
            </w:r>
          </w:p>
        </w:tc>
        <w:tc>
          <w:tcPr>
            <w:tcW w:w="3118" w:type="dxa"/>
          </w:tcPr>
          <w:p w14:paraId="21E84022" w14:textId="77777777" w:rsidR="0054023C" w:rsidRDefault="0054023C" w:rsidP="00883522">
            <w:pPr>
              <w:jc w:val="center"/>
              <w:rPr>
                <w:b/>
                <w:bCs/>
                <w:i/>
                <w:iCs/>
                <w:sz w:val="28"/>
              </w:rPr>
            </w:pPr>
            <w:r>
              <w:rPr>
                <w:b/>
                <w:bCs/>
                <w:i/>
                <w:iCs/>
                <w:sz w:val="28"/>
              </w:rPr>
              <w:t>Bemerkung</w:t>
            </w:r>
          </w:p>
        </w:tc>
      </w:tr>
      <w:tr w:rsidR="0054023C" w14:paraId="3849F404" w14:textId="77777777" w:rsidTr="00935719">
        <w:trPr>
          <w:trHeight w:val="23"/>
        </w:trPr>
        <w:tc>
          <w:tcPr>
            <w:tcW w:w="1268" w:type="dxa"/>
          </w:tcPr>
          <w:p w14:paraId="6E9E504F" w14:textId="7482DF8B" w:rsidR="0054023C" w:rsidRPr="000A6CA2" w:rsidRDefault="0054023C" w:rsidP="00883522">
            <w:pPr>
              <w:jc w:val="center"/>
              <w:rPr>
                <w:rFonts w:ascii="Garamond" w:hAnsi="Garamond"/>
                <w:b/>
                <w:bCs/>
              </w:rPr>
            </w:pPr>
            <w:r>
              <w:rPr>
                <w:rFonts w:ascii="Garamond" w:hAnsi="Garamond"/>
                <w:b/>
                <w:bCs/>
              </w:rPr>
              <w:t>8.</w:t>
            </w:r>
            <w:r w:rsidR="00433528">
              <w:rPr>
                <w:rFonts w:ascii="Garamond" w:hAnsi="Garamond"/>
                <w:b/>
                <w:bCs/>
              </w:rPr>
              <w:t>00</w:t>
            </w:r>
          </w:p>
        </w:tc>
        <w:tc>
          <w:tcPr>
            <w:tcW w:w="2418" w:type="dxa"/>
          </w:tcPr>
          <w:p w14:paraId="4A7BE4BA" w14:textId="77777777" w:rsidR="0054023C" w:rsidRPr="000A6CA2" w:rsidRDefault="0054023C" w:rsidP="00883522">
            <w:pPr>
              <w:jc w:val="both"/>
              <w:rPr>
                <w:rFonts w:ascii="Garamond" w:hAnsi="Garamond"/>
              </w:rPr>
            </w:pPr>
            <w:r w:rsidRPr="000A6CA2">
              <w:rPr>
                <w:rFonts w:ascii="Garamond" w:hAnsi="Garamond"/>
              </w:rPr>
              <w:t>Abfahrt Parkplatz Möbel-Kraft</w:t>
            </w:r>
            <w:r>
              <w:rPr>
                <w:rFonts w:ascii="Garamond" w:hAnsi="Garamond"/>
              </w:rPr>
              <w:t>.</w:t>
            </w:r>
          </w:p>
        </w:tc>
        <w:tc>
          <w:tcPr>
            <w:tcW w:w="3544" w:type="dxa"/>
          </w:tcPr>
          <w:p w14:paraId="0E02A17E" w14:textId="77777777" w:rsidR="0054023C" w:rsidRPr="000A6CA2" w:rsidRDefault="0054023C" w:rsidP="00883522">
            <w:pPr>
              <w:jc w:val="center"/>
              <w:rPr>
                <w:rFonts w:ascii="Garamond" w:hAnsi="Garamond"/>
              </w:rPr>
            </w:pPr>
          </w:p>
        </w:tc>
        <w:tc>
          <w:tcPr>
            <w:tcW w:w="3118" w:type="dxa"/>
          </w:tcPr>
          <w:p w14:paraId="15FA2429" w14:textId="77777777" w:rsidR="0054023C" w:rsidRPr="000A6CA2" w:rsidRDefault="0054023C" w:rsidP="00883522">
            <w:pPr>
              <w:jc w:val="center"/>
              <w:rPr>
                <w:rFonts w:ascii="Garamond" w:hAnsi="Garamond"/>
              </w:rPr>
            </w:pPr>
            <w:r w:rsidRPr="000A6CA2">
              <w:rPr>
                <w:rFonts w:ascii="Garamond" w:hAnsi="Garamond"/>
              </w:rPr>
              <w:t>Wenn möglich, kurz vor der Abfahrt zu Hause die Toilette aufsuchen!</w:t>
            </w:r>
          </w:p>
        </w:tc>
      </w:tr>
      <w:tr w:rsidR="0054023C" w14:paraId="63B23569" w14:textId="77777777" w:rsidTr="00AF3ECF">
        <w:trPr>
          <w:trHeight w:val="2935"/>
        </w:trPr>
        <w:tc>
          <w:tcPr>
            <w:tcW w:w="1268" w:type="dxa"/>
          </w:tcPr>
          <w:p w14:paraId="0822FCFF" w14:textId="0C7FCC70" w:rsidR="0054023C" w:rsidRPr="000A6CA2" w:rsidRDefault="0054023C" w:rsidP="00883522">
            <w:pPr>
              <w:jc w:val="center"/>
              <w:rPr>
                <w:rFonts w:ascii="Garamond" w:hAnsi="Garamond"/>
                <w:b/>
                <w:bCs/>
              </w:rPr>
            </w:pPr>
            <w:r w:rsidRPr="000A6CA2">
              <w:rPr>
                <w:rFonts w:ascii="Garamond" w:hAnsi="Garamond"/>
                <w:b/>
                <w:bCs/>
              </w:rPr>
              <w:t xml:space="preserve">ca. </w:t>
            </w:r>
            <w:r w:rsidR="00DD0AAD">
              <w:rPr>
                <w:rFonts w:ascii="Garamond" w:hAnsi="Garamond"/>
                <w:b/>
                <w:bCs/>
              </w:rPr>
              <w:t>10.</w:t>
            </w:r>
            <w:r w:rsidR="00433528">
              <w:rPr>
                <w:rFonts w:ascii="Garamond" w:hAnsi="Garamond"/>
                <w:b/>
                <w:bCs/>
              </w:rPr>
              <w:t>00</w:t>
            </w:r>
          </w:p>
        </w:tc>
        <w:tc>
          <w:tcPr>
            <w:tcW w:w="2418" w:type="dxa"/>
          </w:tcPr>
          <w:p w14:paraId="3F21FB4E" w14:textId="36DF46E5" w:rsidR="00E70E46" w:rsidRDefault="002B55BC" w:rsidP="00883522">
            <w:pPr>
              <w:jc w:val="center"/>
              <w:rPr>
                <w:rFonts w:ascii="Garamond" w:hAnsi="Garamond"/>
              </w:rPr>
            </w:pPr>
            <w:r>
              <w:rPr>
                <w:rFonts w:ascii="Garamond" w:hAnsi="Garamond"/>
              </w:rPr>
              <w:t xml:space="preserve">Nach </w:t>
            </w:r>
            <w:r w:rsidR="00AF3ECF">
              <w:rPr>
                <w:rFonts w:ascii="Garamond" w:hAnsi="Garamond"/>
              </w:rPr>
              <w:t xml:space="preserve">ca. </w:t>
            </w:r>
            <w:r>
              <w:rPr>
                <w:rFonts w:ascii="Garamond" w:hAnsi="Garamond"/>
              </w:rPr>
              <w:t xml:space="preserve">140 Km über </w:t>
            </w:r>
          </w:p>
          <w:p w14:paraId="1CA905C2" w14:textId="0409C4CC" w:rsidR="00903C48" w:rsidRDefault="00816498" w:rsidP="00883522">
            <w:pPr>
              <w:jc w:val="center"/>
              <w:rPr>
                <w:rFonts w:ascii="Garamond" w:hAnsi="Garamond"/>
                <w:b/>
                <w:bCs/>
              </w:rPr>
            </w:pPr>
            <w:r>
              <w:rPr>
                <w:rFonts w:ascii="Garamond" w:hAnsi="Garamond"/>
              </w:rPr>
              <w:t xml:space="preserve">die </w:t>
            </w:r>
            <w:r w:rsidR="002B55BC">
              <w:rPr>
                <w:rFonts w:ascii="Garamond" w:hAnsi="Garamond"/>
              </w:rPr>
              <w:t>A</w:t>
            </w:r>
            <w:r>
              <w:rPr>
                <w:rFonts w:ascii="Garamond" w:hAnsi="Garamond"/>
              </w:rPr>
              <w:t xml:space="preserve"> 1</w:t>
            </w:r>
            <w:r w:rsidR="002B55BC">
              <w:rPr>
                <w:rFonts w:ascii="Garamond" w:hAnsi="Garamond"/>
              </w:rPr>
              <w:t xml:space="preserve"> </w:t>
            </w:r>
            <w:r>
              <w:rPr>
                <w:rFonts w:ascii="Garamond" w:hAnsi="Garamond"/>
              </w:rPr>
              <w:t xml:space="preserve">= </w:t>
            </w:r>
            <w:r w:rsidR="002B55BC">
              <w:rPr>
                <w:rFonts w:ascii="Garamond" w:hAnsi="Garamond"/>
              </w:rPr>
              <w:t xml:space="preserve">Rade/Buxtehude. </w:t>
            </w:r>
            <w:r w:rsidR="00DD0AAD" w:rsidRPr="002B55BC">
              <w:rPr>
                <w:rFonts w:ascii="Garamond" w:hAnsi="Garamond"/>
                <w:b/>
                <w:bCs/>
              </w:rPr>
              <w:t>Ankunft</w:t>
            </w:r>
            <w:r w:rsidR="00DD0AAD">
              <w:rPr>
                <w:rFonts w:ascii="Garamond" w:hAnsi="Garamond"/>
              </w:rPr>
              <w:t xml:space="preserve"> </w:t>
            </w:r>
            <w:r w:rsidR="00DD0AAD" w:rsidRPr="00DD0AAD">
              <w:rPr>
                <w:rFonts w:ascii="Garamond" w:hAnsi="Garamond"/>
                <w:b/>
                <w:bCs/>
              </w:rPr>
              <w:t>Festung „Grauer Ort“</w:t>
            </w:r>
            <w:r w:rsidR="00DD0AAD">
              <w:rPr>
                <w:rFonts w:ascii="Garamond" w:hAnsi="Garamond"/>
                <w:b/>
                <w:bCs/>
              </w:rPr>
              <w:t xml:space="preserve"> nahe </w:t>
            </w:r>
            <w:proofErr w:type="spellStart"/>
            <w:r w:rsidR="00DD0AAD">
              <w:rPr>
                <w:rFonts w:ascii="Garamond" w:hAnsi="Garamond"/>
                <w:b/>
                <w:bCs/>
              </w:rPr>
              <w:t>Bützfleth</w:t>
            </w:r>
            <w:proofErr w:type="spellEnd"/>
          </w:p>
          <w:p w14:paraId="6467A435" w14:textId="4C05AE9D" w:rsidR="00DD0AAD" w:rsidRDefault="002A5969" w:rsidP="00883522">
            <w:pPr>
              <w:jc w:val="center"/>
              <w:rPr>
                <w:rFonts w:ascii="Garamond" w:hAnsi="Garamond"/>
              </w:rPr>
            </w:pPr>
            <w:r w:rsidRPr="002A5969">
              <w:rPr>
                <w:bCs/>
              </w:rPr>
              <w:t>(s. Rückseite)</w:t>
            </w:r>
            <w:r w:rsidR="00816498" w:rsidRPr="00556605">
              <w:rPr>
                <w:b/>
                <w:sz w:val="32"/>
                <w:szCs w:val="32"/>
              </w:rPr>
              <w:t xml:space="preserve"> *</w:t>
            </w:r>
            <w:r w:rsidR="00903C48" w:rsidRPr="00556605">
              <w:rPr>
                <w:b/>
                <w:sz w:val="32"/>
                <w:szCs w:val="32"/>
              </w:rPr>
              <w:t xml:space="preserve"> </w:t>
            </w:r>
          </w:p>
          <w:p w14:paraId="41507750" w14:textId="6448A39E" w:rsidR="0054023C" w:rsidRPr="000A6CA2" w:rsidRDefault="0054023C" w:rsidP="00883522">
            <w:pPr>
              <w:jc w:val="center"/>
              <w:rPr>
                <w:rFonts w:ascii="Garamond" w:hAnsi="Garamond"/>
              </w:rPr>
            </w:pPr>
            <w:r w:rsidRPr="00556605">
              <w:rPr>
                <w:b/>
                <w:sz w:val="32"/>
                <w:szCs w:val="32"/>
              </w:rPr>
              <w:t xml:space="preserve"> </w:t>
            </w:r>
          </w:p>
        </w:tc>
        <w:tc>
          <w:tcPr>
            <w:tcW w:w="3544" w:type="dxa"/>
          </w:tcPr>
          <w:p w14:paraId="47758BC9" w14:textId="451A8481" w:rsidR="00AF3ECF" w:rsidRPr="00AF3ECF" w:rsidRDefault="00935719" w:rsidP="00AF3ECF">
            <w:pPr>
              <w:shd w:val="clear" w:color="auto" w:fill="FFFFFF"/>
              <w:jc w:val="both"/>
              <w:rPr>
                <w:rFonts w:ascii="Garamond" w:hAnsi="Garamond"/>
              </w:rPr>
            </w:pPr>
            <w:r>
              <w:rPr>
                <w:noProof/>
              </w:rPr>
              <w:drawing>
                <wp:anchor distT="0" distB="0" distL="114300" distR="114300" simplePos="0" relativeHeight="251652608" behindDoc="1" locked="0" layoutInCell="1" allowOverlap="1" wp14:anchorId="76620BFE" wp14:editId="5C5838ED">
                  <wp:simplePos x="0" y="0"/>
                  <wp:positionH relativeFrom="column">
                    <wp:posOffset>1172210</wp:posOffset>
                  </wp:positionH>
                  <wp:positionV relativeFrom="paragraph">
                    <wp:posOffset>32385</wp:posOffset>
                  </wp:positionV>
                  <wp:extent cx="937260" cy="1076325"/>
                  <wp:effectExtent l="0" t="0" r="0" b="0"/>
                  <wp:wrapTight wrapText="bothSides">
                    <wp:wrapPolygon edited="0">
                      <wp:start x="0" y="0"/>
                      <wp:lineTo x="0" y="21409"/>
                      <wp:lineTo x="21073" y="21409"/>
                      <wp:lineTo x="210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26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ECF" w:rsidRPr="00AF3ECF">
              <w:rPr>
                <w:rFonts w:ascii="Garamond" w:eastAsiaTheme="minorHAnsi" w:hAnsi="Garamond" w:cstheme="minorBidi"/>
                <w:kern w:val="2"/>
                <w:sz w:val="22"/>
                <w:szCs w:val="22"/>
                <w:lang w:eastAsia="en-US"/>
              </w:rPr>
              <w:t>Mit Führung und die Möglichkeit mit dem „</w:t>
            </w:r>
            <w:r w:rsidR="00AF3ECF" w:rsidRPr="00AF3ECF">
              <w:rPr>
                <w:rFonts w:ascii="Garamond" w:eastAsiaTheme="minorHAnsi" w:hAnsi="Garamond" w:cstheme="minorBidi"/>
                <w:b/>
                <w:bCs/>
                <w:i/>
                <w:iCs/>
                <w:kern w:val="2"/>
                <w:sz w:val="22"/>
                <w:szCs w:val="22"/>
                <w:lang w:eastAsia="en-US"/>
              </w:rPr>
              <w:t>Festungsblitz</w:t>
            </w:r>
            <w:r w:rsidR="00AF3ECF" w:rsidRPr="00AF3ECF">
              <w:rPr>
                <w:rFonts w:ascii="Garamond" w:eastAsiaTheme="minorHAnsi" w:hAnsi="Garamond" w:cstheme="minorBidi"/>
                <w:kern w:val="2"/>
                <w:sz w:val="22"/>
                <w:szCs w:val="22"/>
                <w:lang w:eastAsia="en-US"/>
              </w:rPr>
              <w:t>“ rund um die Festung fahren, wobei die</w:t>
            </w:r>
            <w:r w:rsidR="00AF3ECF">
              <w:rPr>
                <w:rFonts w:ascii="Garamond" w:eastAsiaTheme="minorHAnsi" w:hAnsi="Garamond" w:cstheme="minorBidi"/>
                <w:kern w:val="2"/>
                <w:sz w:val="22"/>
                <w:szCs w:val="22"/>
                <w:lang w:eastAsia="en-US"/>
              </w:rPr>
              <w:t xml:space="preserve"> </w:t>
            </w:r>
            <w:r w:rsidR="00AF3ECF" w:rsidRPr="00AF3ECF">
              <w:rPr>
                <w:rFonts w:ascii="Garamond" w:eastAsiaTheme="minorHAnsi" w:hAnsi="Garamond" w:cstheme="minorBidi"/>
                <w:kern w:val="2"/>
                <w:sz w:val="22"/>
                <w:szCs w:val="22"/>
                <w:lang w:eastAsia="en-US"/>
              </w:rPr>
              <w:t>„Festungsblitzfahrer“ auf eine persönliche Führung möglicherweise verzichten müssen. Die Geschichte ist aber sehr gut dokumentiert!</w:t>
            </w:r>
          </w:p>
          <w:p w14:paraId="46FE0623" w14:textId="0E7EA650" w:rsidR="0054023C" w:rsidRPr="0098786A" w:rsidRDefault="0054023C" w:rsidP="00883522">
            <w:pPr>
              <w:jc w:val="center"/>
              <w:rPr>
                <w:rFonts w:ascii="Garamond" w:hAnsi="Garamond"/>
                <w:bCs/>
              </w:rPr>
            </w:pPr>
          </w:p>
        </w:tc>
        <w:tc>
          <w:tcPr>
            <w:tcW w:w="3118" w:type="dxa"/>
          </w:tcPr>
          <w:p w14:paraId="1A3E50E6" w14:textId="24757497" w:rsidR="0054023C" w:rsidRDefault="002462B3" w:rsidP="00FD35A3">
            <w:pPr>
              <w:pStyle w:val="StandardWeb"/>
            </w:pPr>
            <w:r>
              <w:rPr>
                <w:noProof/>
              </w:rPr>
              <w:pict w14:anchorId="41C33E20">
                <v:shapetype id="_x0000_t202" coordsize="21600,21600" o:spt="202" path="m,l,21600r21600,l21600,xe">
                  <v:stroke joinstyle="miter"/>
                  <v:path gradientshapeok="t" o:connecttype="rect"/>
                </v:shapetype>
                <v:shape id="_x0000_s1026" type="#_x0000_t202" style="position:absolute;margin-left:-3.25pt;margin-top:102.3pt;width:151.05pt;height:.05pt;z-index:251665408;mso-position-horizontal-relative:text;mso-position-vertical-relative:text" wrapcoords="-107 0 -107 21016 21600 21016 21600 0 -107 0" stroked="f">
                  <v:textbox style="mso-next-textbox:#_x0000_s1026;mso-fit-shape-to-text:t" inset="0,0,0,0">
                    <w:txbxContent>
                      <w:p w14:paraId="7A332F6F" w14:textId="75683B90" w:rsidR="00E70E46" w:rsidRPr="00E70E46" w:rsidRDefault="00E70E46" w:rsidP="00E70E46">
                        <w:pPr>
                          <w:pStyle w:val="Beschriftung"/>
                          <w:jc w:val="center"/>
                          <w:rPr>
                            <w:rFonts w:ascii="Garamond" w:hAnsi="Garamond"/>
                            <w:b/>
                            <w:bCs/>
                            <w:i w:val="0"/>
                            <w:iCs w:val="0"/>
                            <w:noProof/>
                            <w:color w:val="000000" w:themeColor="text1"/>
                            <w:sz w:val="24"/>
                            <w:szCs w:val="24"/>
                          </w:rPr>
                        </w:pPr>
                        <w:r w:rsidRPr="00E70E46">
                          <w:rPr>
                            <w:rFonts w:ascii="Garamond" w:hAnsi="Garamond"/>
                            <w:b/>
                            <w:bCs/>
                            <w:i w:val="0"/>
                            <w:iCs w:val="0"/>
                            <w:color w:val="000000" w:themeColor="text1"/>
                            <w:sz w:val="24"/>
                            <w:szCs w:val="24"/>
                          </w:rPr>
                          <w:t>Eingang</w:t>
                        </w:r>
                        <w:r>
                          <w:rPr>
                            <w:rFonts w:ascii="Garamond" w:hAnsi="Garamond"/>
                            <w:b/>
                            <w:bCs/>
                            <w:i w:val="0"/>
                            <w:iCs w:val="0"/>
                            <w:color w:val="000000" w:themeColor="text1"/>
                            <w:sz w:val="24"/>
                            <w:szCs w:val="24"/>
                          </w:rPr>
                          <w:t xml:space="preserve"> direkt am Parkplatz</w:t>
                        </w:r>
                      </w:p>
                    </w:txbxContent>
                  </v:textbox>
                  <w10:wrap type="tight"/>
                </v:shape>
              </w:pict>
            </w:r>
            <w:r w:rsidR="00FD35A3">
              <w:rPr>
                <w:noProof/>
              </w:rPr>
              <w:drawing>
                <wp:anchor distT="0" distB="0" distL="114300" distR="114300" simplePos="0" relativeHeight="251662848" behindDoc="1" locked="0" layoutInCell="1" allowOverlap="1" wp14:anchorId="63C19AAF" wp14:editId="364C286A">
                  <wp:simplePos x="0" y="0"/>
                  <wp:positionH relativeFrom="column">
                    <wp:posOffset>-71755</wp:posOffset>
                  </wp:positionH>
                  <wp:positionV relativeFrom="paragraph">
                    <wp:posOffset>162560</wp:posOffset>
                  </wp:positionV>
                  <wp:extent cx="1918800" cy="1080000"/>
                  <wp:effectExtent l="0" t="0" r="0" b="0"/>
                  <wp:wrapTight wrapText="bothSides">
                    <wp:wrapPolygon edited="0">
                      <wp:start x="0" y="0"/>
                      <wp:lineTo x="0" y="21346"/>
                      <wp:lineTo x="21450" y="21346"/>
                      <wp:lineTo x="21450"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8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4023C" w14:paraId="7EF88B7B" w14:textId="77777777" w:rsidTr="00935719">
        <w:trPr>
          <w:trHeight w:val="880"/>
        </w:trPr>
        <w:tc>
          <w:tcPr>
            <w:tcW w:w="1268" w:type="dxa"/>
          </w:tcPr>
          <w:p w14:paraId="1703238D" w14:textId="33CA645D" w:rsidR="0054023C" w:rsidRPr="000A6CA2" w:rsidRDefault="00AF3ECF" w:rsidP="00883522">
            <w:pPr>
              <w:jc w:val="center"/>
              <w:rPr>
                <w:rFonts w:ascii="Garamond" w:hAnsi="Garamond"/>
                <w:b/>
                <w:bCs/>
              </w:rPr>
            </w:pPr>
            <w:r>
              <w:rPr>
                <w:rFonts w:ascii="Garamond" w:hAnsi="Garamond"/>
                <w:b/>
                <w:bCs/>
              </w:rPr>
              <w:t>C</w:t>
            </w:r>
            <w:r w:rsidR="00C76506">
              <w:rPr>
                <w:rFonts w:ascii="Garamond" w:hAnsi="Garamond"/>
                <w:b/>
                <w:bCs/>
              </w:rPr>
              <w:t xml:space="preserve">a. </w:t>
            </w:r>
            <w:r w:rsidR="00944355">
              <w:rPr>
                <w:rFonts w:ascii="Garamond" w:hAnsi="Garamond"/>
                <w:b/>
                <w:bCs/>
              </w:rPr>
              <w:t>11.45/</w:t>
            </w:r>
            <w:r w:rsidR="00433528">
              <w:rPr>
                <w:rFonts w:ascii="Garamond" w:hAnsi="Garamond"/>
                <w:b/>
                <w:bCs/>
              </w:rPr>
              <w:t>12.</w:t>
            </w:r>
            <w:r w:rsidR="00B047F0">
              <w:rPr>
                <w:rFonts w:ascii="Garamond" w:hAnsi="Garamond"/>
                <w:b/>
                <w:bCs/>
              </w:rPr>
              <w:t>00</w:t>
            </w:r>
            <w:r w:rsidR="00C76506">
              <w:rPr>
                <w:rFonts w:ascii="Garamond" w:hAnsi="Garamond"/>
                <w:b/>
                <w:bCs/>
              </w:rPr>
              <w:t xml:space="preserve">  </w:t>
            </w:r>
          </w:p>
          <w:p w14:paraId="6E779F8D" w14:textId="77777777" w:rsidR="0054023C" w:rsidRPr="000A6CA2" w:rsidRDefault="0054023C" w:rsidP="00883522">
            <w:pPr>
              <w:jc w:val="center"/>
              <w:rPr>
                <w:rFonts w:ascii="Garamond" w:hAnsi="Garamond"/>
                <w:b/>
                <w:bCs/>
              </w:rPr>
            </w:pPr>
          </w:p>
        </w:tc>
        <w:tc>
          <w:tcPr>
            <w:tcW w:w="2418" w:type="dxa"/>
          </w:tcPr>
          <w:p w14:paraId="5631B3C6" w14:textId="33AE28BB" w:rsidR="0054023C" w:rsidRPr="000A6CA2" w:rsidRDefault="00C76506" w:rsidP="00883522">
            <w:pPr>
              <w:jc w:val="center"/>
              <w:rPr>
                <w:rFonts w:ascii="Garamond" w:hAnsi="Garamond"/>
              </w:rPr>
            </w:pPr>
            <w:r>
              <w:rPr>
                <w:rFonts w:ascii="Garamond" w:hAnsi="Garamond"/>
                <w:b/>
                <w:bCs/>
              </w:rPr>
              <w:t>Abfahrt nach Stade</w:t>
            </w:r>
          </w:p>
        </w:tc>
        <w:tc>
          <w:tcPr>
            <w:tcW w:w="3544" w:type="dxa"/>
          </w:tcPr>
          <w:p w14:paraId="41682D3B" w14:textId="05CF75D8" w:rsidR="0054023C" w:rsidRPr="000A6CA2" w:rsidRDefault="00433528" w:rsidP="00883522">
            <w:pPr>
              <w:shd w:val="clear" w:color="auto" w:fill="FFFFFF"/>
              <w:jc w:val="center"/>
              <w:rPr>
                <w:rFonts w:ascii="Garamond" w:hAnsi="Garamond"/>
              </w:rPr>
            </w:pPr>
            <w:r w:rsidRPr="00B047F0">
              <w:rPr>
                <w:rFonts w:ascii="Garamond" w:hAnsi="Garamond"/>
                <w:b/>
                <w:bCs/>
              </w:rPr>
              <w:t>Mittagspause in Stade</w:t>
            </w:r>
            <w:r w:rsidR="00B047F0">
              <w:rPr>
                <w:rFonts w:ascii="Garamond" w:hAnsi="Garamond"/>
              </w:rPr>
              <w:t>.</w:t>
            </w:r>
          </w:p>
        </w:tc>
        <w:tc>
          <w:tcPr>
            <w:tcW w:w="3118" w:type="dxa"/>
          </w:tcPr>
          <w:p w14:paraId="549BFAFC" w14:textId="78395291" w:rsidR="0054023C" w:rsidRDefault="0054023C" w:rsidP="00883522">
            <w:pPr>
              <w:jc w:val="center"/>
            </w:pPr>
          </w:p>
        </w:tc>
      </w:tr>
      <w:tr w:rsidR="0054023C" w14:paraId="010BAA35" w14:textId="77777777" w:rsidTr="00935719">
        <w:trPr>
          <w:trHeight w:val="1109"/>
        </w:trPr>
        <w:tc>
          <w:tcPr>
            <w:tcW w:w="1268" w:type="dxa"/>
          </w:tcPr>
          <w:p w14:paraId="200BEA24" w14:textId="1EE29B44" w:rsidR="0054023C" w:rsidRPr="000A6CA2" w:rsidRDefault="00AF3ECF" w:rsidP="00883522">
            <w:pPr>
              <w:pStyle w:val="Formatvorlage1"/>
              <w:jc w:val="center"/>
              <w:rPr>
                <w:rFonts w:ascii="Garamond" w:hAnsi="Garamond"/>
                <w:b/>
                <w:bCs/>
              </w:rPr>
            </w:pPr>
            <w:r>
              <w:rPr>
                <w:rFonts w:ascii="Garamond" w:hAnsi="Garamond"/>
                <w:b/>
                <w:bCs/>
              </w:rPr>
              <w:t>C</w:t>
            </w:r>
            <w:r w:rsidR="00B047F0">
              <w:rPr>
                <w:rFonts w:ascii="Garamond" w:hAnsi="Garamond"/>
                <w:b/>
                <w:bCs/>
              </w:rPr>
              <w:t xml:space="preserve">a. </w:t>
            </w:r>
            <w:r w:rsidR="00944355">
              <w:rPr>
                <w:rFonts w:ascii="Garamond" w:hAnsi="Garamond"/>
                <w:b/>
                <w:bCs/>
              </w:rPr>
              <w:t>12.00/</w:t>
            </w:r>
            <w:r w:rsidR="00B047F0">
              <w:rPr>
                <w:rFonts w:ascii="Garamond" w:hAnsi="Garamond"/>
                <w:b/>
                <w:bCs/>
              </w:rPr>
              <w:t xml:space="preserve">12.15 bis </w:t>
            </w:r>
            <w:r w:rsidR="0054023C" w:rsidRPr="000A6CA2">
              <w:rPr>
                <w:rFonts w:ascii="Garamond" w:hAnsi="Garamond"/>
                <w:b/>
                <w:bCs/>
              </w:rPr>
              <w:t>1</w:t>
            </w:r>
            <w:r w:rsidR="00816498">
              <w:rPr>
                <w:rFonts w:ascii="Garamond" w:hAnsi="Garamond"/>
                <w:b/>
                <w:bCs/>
              </w:rPr>
              <w:t>3</w:t>
            </w:r>
            <w:r w:rsidR="0054023C" w:rsidRPr="000A6CA2">
              <w:rPr>
                <w:rFonts w:ascii="Garamond" w:hAnsi="Garamond"/>
                <w:b/>
                <w:bCs/>
              </w:rPr>
              <w:t>.</w:t>
            </w:r>
            <w:r w:rsidR="00816498">
              <w:rPr>
                <w:rFonts w:ascii="Garamond" w:hAnsi="Garamond"/>
                <w:b/>
                <w:bCs/>
              </w:rPr>
              <w:t>45</w:t>
            </w:r>
            <w:r w:rsidR="0054023C" w:rsidRPr="000A6CA2">
              <w:rPr>
                <w:rFonts w:ascii="Garamond" w:hAnsi="Garamond"/>
                <w:b/>
                <w:bCs/>
              </w:rPr>
              <w:t xml:space="preserve">  </w:t>
            </w:r>
          </w:p>
        </w:tc>
        <w:tc>
          <w:tcPr>
            <w:tcW w:w="2418" w:type="dxa"/>
          </w:tcPr>
          <w:p w14:paraId="042235AF" w14:textId="6FBCBFF2" w:rsidR="0054023C" w:rsidRPr="00425067" w:rsidRDefault="0054023C" w:rsidP="00883522">
            <w:pPr>
              <w:pStyle w:val="Formatvorlage1"/>
              <w:jc w:val="center"/>
              <w:rPr>
                <w:rFonts w:ascii="Garamond" w:hAnsi="Garamond"/>
                <w:b/>
                <w:bCs/>
              </w:rPr>
            </w:pPr>
            <w:r w:rsidRPr="00425067">
              <w:rPr>
                <w:rFonts w:ascii="Garamond" w:hAnsi="Garamond"/>
                <w:b/>
                <w:bCs/>
              </w:rPr>
              <w:t xml:space="preserve">Mittagspause </w:t>
            </w:r>
            <w:r w:rsidR="00425067" w:rsidRPr="00425067">
              <w:rPr>
                <w:rFonts w:ascii="Garamond" w:hAnsi="Garamond"/>
                <w:b/>
                <w:bCs/>
              </w:rPr>
              <w:t xml:space="preserve">in Stade </w:t>
            </w:r>
            <w:r w:rsidRPr="00425067">
              <w:rPr>
                <w:rFonts w:ascii="Garamond" w:hAnsi="Garamond"/>
                <w:b/>
                <w:bCs/>
              </w:rPr>
              <w:t>individuell für alle Gäste selber – viele Möglichkeiten im nahen Umkreis.</w:t>
            </w:r>
          </w:p>
        </w:tc>
        <w:tc>
          <w:tcPr>
            <w:tcW w:w="3544" w:type="dxa"/>
          </w:tcPr>
          <w:p w14:paraId="2F721C71" w14:textId="6F4FCE49" w:rsidR="0054023C" w:rsidRPr="000A6CA2" w:rsidRDefault="0054023C" w:rsidP="005A7F92">
            <w:pPr>
              <w:jc w:val="center"/>
              <w:rPr>
                <w:rFonts w:ascii="Garamond" w:hAnsi="Garamond"/>
                <w:color w:val="000000"/>
              </w:rPr>
            </w:pPr>
            <w:r>
              <w:rPr>
                <w:rFonts w:ascii="Garamond" w:hAnsi="Garamond"/>
                <w:color w:val="000000"/>
              </w:rPr>
              <w:t>Im Umfeld des Busparkplatzes und des Hafens befinden sich mehrere Restaurants und Imbisse, wo man gut essen kann.</w:t>
            </w:r>
            <w:r w:rsidR="00025B9B">
              <w:rPr>
                <w:rFonts w:ascii="Garamond" w:hAnsi="Garamond"/>
                <w:color w:val="000000"/>
              </w:rPr>
              <w:t xml:space="preserve"> </w:t>
            </w:r>
            <w:r w:rsidR="00025B9B" w:rsidRPr="00556605">
              <w:rPr>
                <w:b/>
                <w:sz w:val="32"/>
                <w:szCs w:val="32"/>
              </w:rPr>
              <w:t>**</w:t>
            </w:r>
          </w:p>
          <w:p w14:paraId="47B9F8C9" w14:textId="77777777" w:rsidR="0054023C" w:rsidRPr="00C05D2E" w:rsidRDefault="0054023C" w:rsidP="00883522">
            <w:pPr>
              <w:pStyle w:val="Formatvorlage1"/>
              <w:jc w:val="center"/>
              <w:rPr>
                <w:rFonts w:ascii="Garamond" w:hAnsi="Garamond"/>
                <w:bCs/>
                <w:iCs/>
              </w:rPr>
            </w:pPr>
          </w:p>
        </w:tc>
        <w:tc>
          <w:tcPr>
            <w:tcW w:w="3118" w:type="dxa"/>
          </w:tcPr>
          <w:p w14:paraId="448A19C6" w14:textId="647D9A0A" w:rsidR="0054023C" w:rsidRDefault="00E70E46" w:rsidP="00883522">
            <w:pPr>
              <w:pStyle w:val="Formatvorlage1"/>
              <w:jc w:val="center"/>
            </w:pPr>
            <w:r>
              <w:rPr>
                <w:noProof/>
              </w:rPr>
              <w:drawing>
                <wp:inline distT="0" distB="0" distL="0" distR="0" wp14:anchorId="418B5DD4" wp14:editId="1C0A908D">
                  <wp:extent cx="1581150" cy="1053688"/>
                  <wp:effectExtent l="0" t="0" r="0" b="0"/>
                  <wp:docPr id="645401323" name="Bild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9182" cy="1065705"/>
                          </a:xfrm>
                          <a:prstGeom prst="rect">
                            <a:avLst/>
                          </a:prstGeom>
                          <a:noFill/>
                          <a:ln>
                            <a:noFill/>
                          </a:ln>
                        </pic:spPr>
                      </pic:pic>
                    </a:graphicData>
                  </a:graphic>
                </wp:inline>
              </w:drawing>
            </w:r>
          </w:p>
        </w:tc>
      </w:tr>
      <w:tr w:rsidR="0054023C" w14:paraId="6DF6BD23" w14:textId="77777777" w:rsidTr="00AF3ECF">
        <w:trPr>
          <w:trHeight w:val="2281"/>
        </w:trPr>
        <w:tc>
          <w:tcPr>
            <w:tcW w:w="1268" w:type="dxa"/>
          </w:tcPr>
          <w:p w14:paraId="378D6E99" w14:textId="61DC195F" w:rsidR="00B047F0" w:rsidRPr="000A6CA2" w:rsidRDefault="00B047F0" w:rsidP="00B047F0">
            <w:pPr>
              <w:pStyle w:val="Formatvorlage1"/>
              <w:jc w:val="center"/>
              <w:rPr>
                <w:rFonts w:ascii="Garamond" w:hAnsi="Garamond"/>
                <w:b/>
                <w:bCs/>
              </w:rPr>
            </w:pPr>
            <w:r>
              <w:rPr>
                <w:rFonts w:ascii="Garamond" w:hAnsi="Garamond"/>
                <w:b/>
                <w:bCs/>
              </w:rPr>
              <w:t>14.00 – 15.30</w:t>
            </w:r>
          </w:p>
          <w:p w14:paraId="6018BEAE" w14:textId="464E1311" w:rsidR="0054023C" w:rsidRPr="000A6CA2" w:rsidRDefault="0054023C" w:rsidP="00883522">
            <w:pPr>
              <w:pStyle w:val="Formatvorlage1"/>
              <w:jc w:val="center"/>
              <w:rPr>
                <w:rFonts w:ascii="Garamond" w:hAnsi="Garamond"/>
                <w:b/>
                <w:bCs/>
              </w:rPr>
            </w:pPr>
          </w:p>
        </w:tc>
        <w:tc>
          <w:tcPr>
            <w:tcW w:w="2418" w:type="dxa"/>
          </w:tcPr>
          <w:p w14:paraId="305806C2" w14:textId="69D09C36" w:rsidR="0054023C" w:rsidRDefault="00B047F0" w:rsidP="00883522">
            <w:pPr>
              <w:pStyle w:val="Formatvorlage1"/>
              <w:jc w:val="center"/>
              <w:rPr>
                <w:rFonts w:ascii="Garamond" w:hAnsi="Garamond"/>
                <w:bCs/>
                <w:iCs/>
              </w:rPr>
            </w:pPr>
            <w:r w:rsidRPr="00241BAD">
              <w:rPr>
                <w:rFonts w:ascii="Garamond" w:hAnsi="Garamond"/>
                <w:b/>
                <w:iCs/>
              </w:rPr>
              <w:t>Stadtführung in Stade</w:t>
            </w:r>
            <w:r>
              <w:rPr>
                <w:rFonts w:ascii="Garamond" w:hAnsi="Garamond"/>
                <w:bCs/>
                <w:iCs/>
              </w:rPr>
              <w:t xml:space="preserve"> (</w:t>
            </w:r>
            <w:r w:rsidR="00241BAD">
              <w:rPr>
                <w:rFonts w:ascii="Garamond" w:hAnsi="Garamond"/>
                <w:bCs/>
                <w:iCs/>
              </w:rPr>
              <w:t>m</w:t>
            </w:r>
            <w:r>
              <w:rPr>
                <w:rFonts w:ascii="Garamond" w:hAnsi="Garamond"/>
                <w:bCs/>
                <w:iCs/>
              </w:rPr>
              <w:t>it Rücksicht auf etwas gehbehinderte Personen</w:t>
            </w:r>
            <w:r w:rsidR="00241BAD">
              <w:rPr>
                <w:rFonts w:ascii="Garamond" w:hAnsi="Garamond"/>
                <w:bCs/>
                <w:iCs/>
              </w:rPr>
              <w:t>)</w:t>
            </w:r>
            <w:r>
              <w:rPr>
                <w:rFonts w:ascii="Garamond" w:hAnsi="Garamond"/>
                <w:bCs/>
                <w:iCs/>
              </w:rPr>
              <w:t xml:space="preserve">. </w:t>
            </w:r>
          </w:p>
          <w:p w14:paraId="3C080962" w14:textId="77777777" w:rsidR="0054023C" w:rsidRDefault="0054023C" w:rsidP="00883522">
            <w:pPr>
              <w:pStyle w:val="Formatvorlage1"/>
              <w:jc w:val="center"/>
              <w:rPr>
                <w:rFonts w:ascii="Garamond" w:hAnsi="Garamond"/>
                <w:bCs/>
                <w:iCs/>
              </w:rPr>
            </w:pPr>
          </w:p>
          <w:p w14:paraId="1B5CC454" w14:textId="13CB5F65" w:rsidR="0054023C" w:rsidRPr="000A6CA2" w:rsidRDefault="0054023C" w:rsidP="00883522">
            <w:pPr>
              <w:pStyle w:val="Formatvorlage1"/>
              <w:jc w:val="center"/>
              <w:rPr>
                <w:rFonts w:ascii="Garamond" w:hAnsi="Garamond"/>
                <w:bCs/>
                <w:iCs/>
              </w:rPr>
            </w:pPr>
          </w:p>
        </w:tc>
        <w:tc>
          <w:tcPr>
            <w:tcW w:w="3544" w:type="dxa"/>
          </w:tcPr>
          <w:p w14:paraId="50E4882E" w14:textId="14DC5FD7" w:rsidR="0054023C" w:rsidRDefault="00BF54FF" w:rsidP="00883522">
            <w:pPr>
              <w:pStyle w:val="Formatvorlage1"/>
              <w:jc w:val="center"/>
              <w:rPr>
                <w:rFonts w:ascii="Garamond" w:hAnsi="Garamond"/>
                <w:iCs/>
                <w:color w:val="000000"/>
              </w:rPr>
            </w:pPr>
            <w:r>
              <w:rPr>
                <w:noProof/>
              </w:rPr>
              <w:drawing>
                <wp:anchor distT="0" distB="0" distL="114300" distR="114300" simplePos="0" relativeHeight="251658752" behindDoc="1" locked="0" layoutInCell="1" allowOverlap="1" wp14:anchorId="4A352E97" wp14:editId="640BC083">
                  <wp:simplePos x="0" y="0"/>
                  <wp:positionH relativeFrom="column">
                    <wp:posOffset>791210</wp:posOffset>
                  </wp:positionH>
                  <wp:positionV relativeFrom="paragraph">
                    <wp:posOffset>264</wp:posOffset>
                  </wp:positionV>
                  <wp:extent cx="1418400" cy="1065600"/>
                  <wp:effectExtent l="0" t="0" r="0" b="0"/>
                  <wp:wrapTight wrapText="bothSides">
                    <wp:wrapPolygon edited="0">
                      <wp:start x="0" y="0"/>
                      <wp:lineTo x="0" y="21240"/>
                      <wp:lineTo x="21184" y="21240"/>
                      <wp:lineTo x="21184" y="0"/>
                      <wp:lineTo x="0" y="0"/>
                    </wp:wrapPolygon>
                  </wp:wrapTight>
                  <wp:docPr id="15377374" name="Bild 4" descr="Fachwerkhäuser am Hanseha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hwerkhäuser am Hansehaf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9395B" w14:textId="16E2C641" w:rsidR="0054023C" w:rsidRPr="00A62B41" w:rsidRDefault="00BF54FF" w:rsidP="00883522">
            <w:pPr>
              <w:pStyle w:val="Formatvorlage1"/>
              <w:jc w:val="center"/>
              <w:rPr>
                <w:rFonts w:ascii="Garamond" w:hAnsi="Garamond"/>
                <w:iCs/>
                <w:color w:val="000000"/>
              </w:rPr>
            </w:pPr>
            <w:r>
              <w:rPr>
                <w:noProof/>
              </w:rPr>
              <w:drawing>
                <wp:anchor distT="0" distB="0" distL="114300" distR="114300" simplePos="0" relativeHeight="251655680" behindDoc="1" locked="0" layoutInCell="1" allowOverlap="1" wp14:anchorId="4077B879" wp14:editId="4C6062E8">
                  <wp:simplePos x="0" y="0"/>
                  <wp:positionH relativeFrom="column">
                    <wp:posOffset>-635</wp:posOffset>
                  </wp:positionH>
                  <wp:positionV relativeFrom="paragraph">
                    <wp:posOffset>635</wp:posOffset>
                  </wp:positionV>
                  <wp:extent cx="705600" cy="824400"/>
                  <wp:effectExtent l="0" t="0" r="0" b="0"/>
                  <wp:wrapTight wrapText="bothSides">
                    <wp:wrapPolygon edited="0">
                      <wp:start x="0" y="0"/>
                      <wp:lineTo x="0" y="20968"/>
                      <wp:lineTo x="20997" y="20968"/>
                      <wp:lineTo x="20997" y="0"/>
                      <wp:lineTo x="0" y="0"/>
                    </wp:wrapPolygon>
                  </wp:wrapTight>
                  <wp:docPr id="5" name="Bild 5" descr="Die Fischfrau von Frijo Müller-Belecke am Hanseha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Fischfrau von Frijo Müller-Belecke am Hansehaf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600" cy="82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tcPr>
          <w:p w14:paraId="162A4070" w14:textId="39DCE045" w:rsidR="0054023C" w:rsidRDefault="00425067" w:rsidP="00883522">
            <w:pPr>
              <w:pStyle w:val="Formatvorlage1"/>
              <w:jc w:val="center"/>
            </w:pPr>
            <w:r>
              <w:rPr>
                <w:noProof/>
              </w:rPr>
              <w:drawing>
                <wp:anchor distT="0" distB="0" distL="114300" distR="114300" simplePos="0" relativeHeight="251661824" behindDoc="1" locked="0" layoutInCell="1" allowOverlap="1" wp14:anchorId="57DB5147" wp14:editId="25EB9F11">
                  <wp:simplePos x="0" y="0"/>
                  <wp:positionH relativeFrom="column">
                    <wp:posOffset>410528</wp:posOffset>
                  </wp:positionH>
                  <wp:positionV relativeFrom="paragraph">
                    <wp:posOffset>-71120</wp:posOffset>
                  </wp:positionV>
                  <wp:extent cx="1061085" cy="1869440"/>
                  <wp:effectExtent l="400050" t="0" r="386715" b="0"/>
                  <wp:wrapTight wrapText="bothSides">
                    <wp:wrapPolygon edited="0">
                      <wp:start x="21684" y="48"/>
                      <wp:lineTo x="355" y="48"/>
                      <wp:lineTo x="355" y="21398"/>
                      <wp:lineTo x="21684" y="21398"/>
                      <wp:lineTo x="21684" y="48"/>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782" r="5839" b="10770"/>
                          <a:stretch/>
                        </pic:blipFill>
                        <pic:spPr bwMode="auto">
                          <a:xfrm rot="16200000">
                            <a:off x="0" y="0"/>
                            <a:ext cx="1061085" cy="186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54FF">
              <w:t>Unser Rätsel: Wer entdeckt diese Grabsteinplatte?</w:t>
            </w:r>
            <w:r>
              <w:rPr>
                <w:noProof/>
              </w:rPr>
              <w:t xml:space="preserve"> </w:t>
            </w:r>
          </w:p>
        </w:tc>
      </w:tr>
      <w:tr w:rsidR="0054023C" w14:paraId="1515D629" w14:textId="77777777" w:rsidTr="00935719">
        <w:trPr>
          <w:trHeight w:val="1256"/>
        </w:trPr>
        <w:tc>
          <w:tcPr>
            <w:tcW w:w="1268" w:type="dxa"/>
          </w:tcPr>
          <w:p w14:paraId="15C55BDD" w14:textId="38DBBB62" w:rsidR="0054023C" w:rsidRPr="000A6CA2" w:rsidRDefault="00E373C2" w:rsidP="00944355">
            <w:pPr>
              <w:pStyle w:val="Formatvorlage1"/>
              <w:jc w:val="center"/>
              <w:rPr>
                <w:rFonts w:ascii="Garamond" w:hAnsi="Garamond"/>
                <w:b/>
                <w:bCs/>
              </w:rPr>
            </w:pPr>
            <w:r>
              <w:rPr>
                <w:rFonts w:ascii="Garamond" w:hAnsi="Garamond"/>
                <w:b/>
                <w:bCs/>
              </w:rPr>
              <w:t>16.15</w:t>
            </w:r>
          </w:p>
        </w:tc>
        <w:tc>
          <w:tcPr>
            <w:tcW w:w="2418" w:type="dxa"/>
          </w:tcPr>
          <w:p w14:paraId="782973D2" w14:textId="1260504C" w:rsidR="0054023C" w:rsidRPr="000A6CA2" w:rsidRDefault="0054023C" w:rsidP="00944355">
            <w:pPr>
              <w:pStyle w:val="Formatvorlage1"/>
              <w:jc w:val="center"/>
              <w:rPr>
                <w:rFonts w:ascii="Garamond" w:hAnsi="Garamond"/>
              </w:rPr>
            </w:pPr>
            <w:r>
              <w:rPr>
                <w:rFonts w:ascii="Garamond" w:hAnsi="Garamond"/>
              </w:rPr>
              <w:t xml:space="preserve">Kaffeetrinken im </w:t>
            </w:r>
            <w:r w:rsidR="00944355" w:rsidRPr="00944355">
              <w:rPr>
                <w:rFonts w:ascii="Garamond" w:hAnsi="Garamond"/>
                <w:b/>
                <w:bCs/>
              </w:rPr>
              <w:t>„</w:t>
            </w:r>
            <w:proofErr w:type="spellStart"/>
            <w:r w:rsidR="00944355" w:rsidRPr="00944355">
              <w:rPr>
                <w:rFonts w:ascii="Garamond" w:hAnsi="Garamond"/>
                <w:b/>
                <w:bCs/>
              </w:rPr>
              <w:t>Obsthof</w:t>
            </w:r>
            <w:proofErr w:type="spellEnd"/>
            <w:r w:rsidR="00944355" w:rsidRPr="00944355">
              <w:rPr>
                <w:rFonts w:ascii="Garamond" w:hAnsi="Garamond"/>
                <w:b/>
                <w:bCs/>
              </w:rPr>
              <w:t xml:space="preserve"> Matthies“</w:t>
            </w:r>
            <w:r w:rsidR="00944355">
              <w:rPr>
                <w:rFonts w:ascii="Garamond" w:hAnsi="Garamond"/>
                <w:b/>
                <w:bCs/>
              </w:rPr>
              <w:t xml:space="preserve"> </w:t>
            </w:r>
            <w:r w:rsidR="00944355" w:rsidRPr="00944355">
              <w:rPr>
                <w:rFonts w:ascii="Garamond" w:hAnsi="Garamond"/>
              </w:rPr>
              <w:t xml:space="preserve">in </w:t>
            </w:r>
            <w:proofErr w:type="spellStart"/>
            <w:r w:rsidR="00944355" w:rsidRPr="00944355">
              <w:rPr>
                <w:rFonts w:ascii="Garamond" w:hAnsi="Garamond"/>
              </w:rPr>
              <w:t>Borstel</w:t>
            </w:r>
            <w:proofErr w:type="spellEnd"/>
            <w:r w:rsidR="00944355" w:rsidRPr="00944355">
              <w:rPr>
                <w:rFonts w:ascii="Garamond" w:hAnsi="Garamond"/>
              </w:rPr>
              <w:t xml:space="preserve"> bei </w:t>
            </w:r>
            <w:proofErr w:type="spellStart"/>
            <w:r w:rsidR="00944355" w:rsidRPr="00944355">
              <w:rPr>
                <w:rFonts w:ascii="Garamond" w:hAnsi="Garamond"/>
              </w:rPr>
              <w:t>Jork</w:t>
            </w:r>
            <w:proofErr w:type="spellEnd"/>
            <w:r w:rsidR="00944355">
              <w:rPr>
                <w:rFonts w:ascii="Garamond" w:hAnsi="Garamond"/>
              </w:rPr>
              <w:t>.</w:t>
            </w:r>
          </w:p>
        </w:tc>
        <w:tc>
          <w:tcPr>
            <w:tcW w:w="3544" w:type="dxa"/>
          </w:tcPr>
          <w:p w14:paraId="694D34D9" w14:textId="7EDB3B70" w:rsidR="0054023C" w:rsidRPr="000A6CA2" w:rsidRDefault="00025B9B" w:rsidP="00883522">
            <w:pPr>
              <w:pStyle w:val="Formatvorlage1"/>
              <w:jc w:val="center"/>
              <w:rPr>
                <w:rFonts w:ascii="Garamond" w:hAnsi="Garamond" w:cs="Arial"/>
                <w:color w:val="000A12"/>
                <w:sz w:val="20"/>
                <w:szCs w:val="20"/>
              </w:rPr>
            </w:pPr>
            <w:r>
              <w:rPr>
                <w:noProof/>
              </w:rPr>
              <w:drawing>
                <wp:anchor distT="0" distB="0" distL="114300" distR="114300" simplePos="0" relativeHeight="251672064" behindDoc="1" locked="0" layoutInCell="1" allowOverlap="1" wp14:anchorId="1BCED76E" wp14:editId="769070DE">
                  <wp:simplePos x="0" y="0"/>
                  <wp:positionH relativeFrom="column">
                    <wp:posOffset>542290</wp:posOffset>
                  </wp:positionH>
                  <wp:positionV relativeFrom="paragraph">
                    <wp:posOffset>47625</wp:posOffset>
                  </wp:positionV>
                  <wp:extent cx="742950" cy="742950"/>
                  <wp:effectExtent l="0" t="0" r="0" b="0"/>
                  <wp:wrapTight wrapText="bothSides">
                    <wp:wrapPolygon edited="0">
                      <wp:start x="6646" y="0"/>
                      <wp:lineTo x="1108" y="8862"/>
                      <wp:lineTo x="0" y="9969"/>
                      <wp:lineTo x="0" y="12185"/>
                      <wp:lineTo x="554" y="21046"/>
                      <wp:lineTo x="21046" y="21046"/>
                      <wp:lineTo x="21046" y="10523"/>
                      <wp:lineTo x="20492" y="8862"/>
                      <wp:lineTo x="14954" y="0"/>
                      <wp:lineTo x="6646"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168E2" w14:textId="557B8647" w:rsidR="0054023C" w:rsidRPr="000A6CA2" w:rsidRDefault="0054023C" w:rsidP="00883522">
            <w:pPr>
              <w:pStyle w:val="Formatvorlage1"/>
              <w:jc w:val="center"/>
              <w:rPr>
                <w:rFonts w:ascii="Garamond" w:hAnsi="Garamond"/>
              </w:rPr>
            </w:pPr>
          </w:p>
        </w:tc>
        <w:tc>
          <w:tcPr>
            <w:tcW w:w="3118" w:type="dxa"/>
          </w:tcPr>
          <w:p w14:paraId="1A611B94" w14:textId="77777777" w:rsidR="00AF3ECF" w:rsidRDefault="00AF3ECF" w:rsidP="00AF3ECF">
            <w:pPr>
              <w:pStyle w:val="Formatvorlage1"/>
              <w:jc w:val="center"/>
            </w:pPr>
          </w:p>
          <w:p w14:paraId="0BA82597" w14:textId="77777777" w:rsidR="00AF3ECF" w:rsidRDefault="00AF3ECF" w:rsidP="00AF3ECF">
            <w:pPr>
              <w:pStyle w:val="Formatvorlage1"/>
              <w:jc w:val="center"/>
            </w:pPr>
          </w:p>
          <w:p w14:paraId="35519033" w14:textId="766B40F6" w:rsidR="0054023C" w:rsidRDefault="00025B9B" w:rsidP="00AF3ECF">
            <w:pPr>
              <w:pStyle w:val="Formatvorlage1"/>
              <w:jc w:val="center"/>
            </w:pPr>
            <w:r>
              <w:t>Kaffeetrinken</w:t>
            </w:r>
          </w:p>
        </w:tc>
      </w:tr>
      <w:tr w:rsidR="0054023C" w14:paraId="74FAB098" w14:textId="77777777" w:rsidTr="00935719">
        <w:trPr>
          <w:trHeight w:val="86"/>
        </w:trPr>
        <w:tc>
          <w:tcPr>
            <w:tcW w:w="1268" w:type="dxa"/>
          </w:tcPr>
          <w:p w14:paraId="01C5B060" w14:textId="46D856CE" w:rsidR="0054023C" w:rsidRPr="000A6CA2" w:rsidRDefault="0054023C" w:rsidP="00883522">
            <w:pPr>
              <w:pStyle w:val="Formatvorlage1"/>
              <w:jc w:val="center"/>
              <w:rPr>
                <w:rFonts w:ascii="Garamond" w:hAnsi="Garamond"/>
                <w:b/>
                <w:bCs/>
              </w:rPr>
            </w:pPr>
            <w:r>
              <w:rPr>
                <w:rFonts w:ascii="Garamond" w:hAnsi="Garamond"/>
                <w:b/>
                <w:bCs/>
              </w:rPr>
              <w:t>17.</w:t>
            </w:r>
            <w:r w:rsidR="00E373C2">
              <w:rPr>
                <w:rFonts w:ascii="Garamond" w:hAnsi="Garamond"/>
                <w:b/>
                <w:bCs/>
              </w:rPr>
              <w:t>00</w:t>
            </w:r>
          </w:p>
        </w:tc>
        <w:tc>
          <w:tcPr>
            <w:tcW w:w="2418" w:type="dxa"/>
          </w:tcPr>
          <w:p w14:paraId="180BFF4F" w14:textId="77777777" w:rsidR="0054023C" w:rsidRPr="000A6CA2" w:rsidRDefault="0054023C" w:rsidP="00883522">
            <w:pPr>
              <w:pStyle w:val="Formatvorlage1"/>
              <w:rPr>
                <w:rFonts w:ascii="Garamond" w:hAnsi="Garamond"/>
              </w:rPr>
            </w:pPr>
            <w:r w:rsidRPr="00FD35A3">
              <w:rPr>
                <w:rFonts w:ascii="Garamond" w:hAnsi="Garamond"/>
                <w:b/>
                <w:bCs/>
              </w:rPr>
              <w:t>Abfahrt nach SE</w:t>
            </w:r>
            <w:r>
              <w:rPr>
                <w:rFonts w:ascii="Garamond" w:hAnsi="Garamond"/>
              </w:rPr>
              <w:t>.</w:t>
            </w:r>
          </w:p>
        </w:tc>
        <w:tc>
          <w:tcPr>
            <w:tcW w:w="3544" w:type="dxa"/>
          </w:tcPr>
          <w:p w14:paraId="1F4E4887" w14:textId="77777777" w:rsidR="0054023C" w:rsidRPr="000A6CA2" w:rsidRDefault="0054023C" w:rsidP="00883522">
            <w:pPr>
              <w:pStyle w:val="Formatvorlage1"/>
              <w:jc w:val="center"/>
              <w:rPr>
                <w:rFonts w:ascii="Garamond" w:hAnsi="Garamond"/>
              </w:rPr>
            </w:pPr>
          </w:p>
        </w:tc>
        <w:tc>
          <w:tcPr>
            <w:tcW w:w="3118" w:type="dxa"/>
          </w:tcPr>
          <w:p w14:paraId="194130D2" w14:textId="77777777" w:rsidR="0054023C" w:rsidRDefault="0054023C" w:rsidP="00883522">
            <w:pPr>
              <w:pStyle w:val="Formatvorlage1"/>
              <w:jc w:val="center"/>
            </w:pPr>
          </w:p>
        </w:tc>
      </w:tr>
      <w:tr w:rsidR="0054023C" w14:paraId="760C8130" w14:textId="77777777" w:rsidTr="00025B9B">
        <w:trPr>
          <w:trHeight w:val="745"/>
        </w:trPr>
        <w:tc>
          <w:tcPr>
            <w:tcW w:w="1268" w:type="dxa"/>
          </w:tcPr>
          <w:p w14:paraId="50559BEC" w14:textId="790858A3" w:rsidR="0054023C" w:rsidRDefault="0054023C" w:rsidP="00883522">
            <w:pPr>
              <w:pStyle w:val="Formatvorlage1"/>
              <w:jc w:val="center"/>
              <w:rPr>
                <w:b/>
                <w:bCs/>
              </w:rPr>
            </w:pPr>
            <w:r>
              <w:rPr>
                <w:b/>
                <w:bCs/>
              </w:rPr>
              <w:t>ca. 1</w:t>
            </w:r>
            <w:r w:rsidR="00E373C2">
              <w:rPr>
                <w:b/>
                <w:bCs/>
              </w:rPr>
              <w:t>9</w:t>
            </w:r>
            <w:r>
              <w:rPr>
                <w:b/>
                <w:bCs/>
              </w:rPr>
              <w:t>.00</w:t>
            </w:r>
          </w:p>
        </w:tc>
        <w:tc>
          <w:tcPr>
            <w:tcW w:w="2418" w:type="dxa"/>
          </w:tcPr>
          <w:p w14:paraId="7F4B8B5E" w14:textId="0877CAE6" w:rsidR="0054023C" w:rsidRDefault="0054023C" w:rsidP="00883522">
            <w:pPr>
              <w:pStyle w:val="Formatvorlage1"/>
            </w:pPr>
            <w:r>
              <w:t>Ankunft „Möbel-Kraft</w:t>
            </w:r>
            <w:r w:rsidR="002A5969">
              <w:t>“.</w:t>
            </w:r>
            <w:r w:rsidR="002A5969" w:rsidRPr="00556605">
              <w:rPr>
                <w:b/>
                <w:sz w:val="32"/>
                <w:szCs w:val="32"/>
              </w:rPr>
              <w:t>*</w:t>
            </w:r>
          </w:p>
        </w:tc>
        <w:tc>
          <w:tcPr>
            <w:tcW w:w="3544" w:type="dxa"/>
          </w:tcPr>
          <w:p w14:paraId="102E7ECD" w14:textId="0D8C119A" w:rsidR="0054023C" w:rsidRDefault="00025B9B" w:rsidP="00025B9B">
            <w:pPr>
              <w:pStyle w:val="Formatvorlage1"/>
              <w:jc w:val="center"/>
            </w:pPr>
            <w:r w:rsidRPr="00B470EF">
              <w:rPr>
                <w:noProof/>
              </w:rPr>
              <w:drawing>
                <wp:inline distT="0" distB="0" distL="0" distR="0" wp14:anchorId="518BE91B" wp14:editId="60158783">
                  <wp:extent cx="704850" cy="480227"/>
                  <wp:effectExtent l="0" t="0" r="0" b="0"/>
                  <wp:docPr id="1727172312" name="Grafik 1" descr="HSV Fahne »HSV Hissfahne Schrebergarten 12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SV Fahne »HSV Hissfahne Schrebergarten 120X180«"/>
                          <pic:cNvPicPr>
                            <a:picLocks noChangeAspect="1" noChangeArrowheads="1"/>
                          </pic:cNvPicPr>
                        </pic:nvPicPr>
                        <pic:blipFill>
                          <a:blip r:embed="rId11">
                            <a:extLst>
                              <a:ext uri="{28A0092B-C50C-407E-A947-70E740481C1C}">
                                <a14:useLocalDpi xmlns:a14="http://schemas.microsoft.com/office/drawing/2010/main" val="0"/>
                              </a:ext>
                            </a:extLst>
                          </a:blip>
                          <a:srcRect t="15715" b="16429"/>
                          <a:stretch>
                            <a:fillRect/>
                          </a:stretch>
                        </pic:blipFill>
                        <pic:spPr bwMode="auto">
                          <a:xfrm>
                            <a:off x="0" y="0"/>
                            <a:ext cx="719964" cy="490525"/>
                          </a:xfrm>
                          <a:prstGeom prst="rect">
                            <a:avLst/>
                          </a:prstGeom>
                          <a:noFill/>
                          <a:ln>
                            <a:noFill/>
                          </a:ln>
                        </pic:spPr>
                      </pic:pic>
                    </a:graphicData>
                  </a:graphic>
                </wp:inline>
              </w:drawing>
            </w:r>
          </w:p>
        </w:tc>
        <w:tc>
          <w:tcPr>
            <w:tcW w:w="3118" w:type="dxa"/>
          </w:tcPr>
          <w:p w14:paraId="62C33671" w14:textId="6EBE2A52" w:rsidR="0054023C" w:rsidRPr="00C05D2E" w:rsidRDefault="0054023C" w:rsidP="002462B3">
            <w:pPr>
              <w:pStyle w:val="Formatvorlage1"/>
              <w:jc w:val="center"/>
              <w:rPr>
                <w:color w:val="2F5496"/>
              </w:rPr>
            </w:pPr>
            <w:r>
              <w:t xml:space="preserve">Und: </w:t>
            </w:r>
            <w:r w:rsidR="002462B3">
              <w:t>Wird der HSV dieses Jahr</w:t>
            </w:r>
            <w:bookmarkStart w:id="0" w:name="_GoBack"/>
            <w:bookmarkEnd w:id="0"/>
            <w:r w:rsidR="002462B3">
              <w:t xml:space="preserve"> aufsteigen?</w:t>
            </w:r>
            <w:r w:rsidRPr="00B470EF">
              <w:rPr>
                <w:noProof/>
              </w:rPr>
              <w:t xml:space="preserve"> </w:t>
            </w:r>
            <w:r>
              <w:rPr>
                <w:noProof/>
              </w:rPr>
              <w:t xml:space="preserve"> </w:t>
            </w:r>
          </w:p>
        </w:tc>
      </w:tr>
    </w:tbl>
    <w:p w14:paraId="677F16D4" w14:textId="6023122E" w:rsidR="00816498" w:rsidRPr="00816498" w:rsidRDefault="0054023C" w:rsidP="00816498">
      <w:pPr>
        <w:pStyle w:val="Formatvorlage1"/>
        <w:jc w:val="center"/>
        <w:rPr>
          <w:b/>
        </w:rPr>
      </w:pPr>
      <w:bookmarkStart w:id="1" w:name="_Hlk157771749"/>
      <w:r w:rsidRPr="00556605">
        <w:rPr>
          <w:b/>
          <w:sz w:val="32"/>
          <w:szCs w:val="32"/>
        </w:rPr>
        <w:t>*</w:t>
      </w:r>
      <w:bookmarkEnd w:id="1"/>
      <w:r>
        <w:t xml:space="preserve"> Die Zeiten können gering variieren. </w:t>
      </w:r>
      <w:r w:rsidR="00025B9B" w:rsidRPr="00556605">
        <w:rPr>
          <w:b/>
          <w:sz w:val="32"/>
          <w:szCs w:val="32"/>
        </w:rPr>
        <w:t>**</w:t>
      </w:r>
      <w:r w:rsidR="00025B9B" w:rsidRPr="00816498">
        <w:rPr>
          <w:b/>
        </w:rPr>
        <w:t>Außer Mittag</w:t>
      </w:r>
      <w:r w:rsidR="009A43C4">
        <w:rPr>
          <w:b/>
        </w:rPr>
        <w:t>essen</w:t>
      </w:r>
      <w:r w:rsidR="00025B9B" w:rsidRPr="00816498">
        <w:rPr>
          <w:b/>
        </w:rPr>
        <w:t xml:space="preserve"> alles im </w:t>
      </w:r>
      <w:proofErr w:type="spellStart"/>
      <w:r w:rsidR="00025B9B" w:rsidRPr="00816498">
        <w:rPr>
          <w:b/>
        </w:rPr>
        <w:t>u.g</w:t>
      </w:r>
      <w:proofErr w:type="spellEnd"/>
      <w:r w:rsidR="00025B9B" w:rsidRPr="00816498">
        <w:rPr>
          <w:b/>
        </w:rPr>
        <w:t>. Preis enthalten!</w:t>
      </w:r>
    </w:p>
    <w:p w14:paraId="58C4FD1B" w14:textId="7C3F4941" w:rsidR="0054023C" w:rsidRDefault="00816498" w:rsidP="00816498">
      <w:pPr>
        <w:pStyle w:val="Formatvorlage1"/>
        <w:jc w:val="center"/>
        <w:rPr>
          <w:bCs/>
        </w:rPr>
      </w:pPr>
      <w:r w:rsidRPr="00816498">
        <w:rPr>
          <w:bCs/>
        </w:rPr>
        <w:t xml:space="preserve">***Festung </w:t>
      </w:r>
      <w:r w:rsidRPr="00816498">
        <w:rPr>
          <w:b/>
        </w:rPr>
        <w:t>Grauer Ort</w:t>
      </w:r>
      <w:r w:rsidRPr="00816498">
        <w:rPr>
          <w:bCs/>
        </w:rPr>
        <w:t>, s. Rückseite</w:t>
      </w:r>
    </w:p>
    <w:p w14:paraId="235B6323" w14:textId="77777777" w:rsidR="005A7F92" w:rsidRPr="009A43C4" w:rsidRDefault="005A7F92" w:rsidP="005A7F92">
      <w:pPr>
        <w:pStyle w:val="Formatvorlage1"/>
        <w:jc w:val="center"/>
        <w:rPr>
          <w:b/>
          <w:sz w:val="48"/>
          <w:szCs w:val="48"/>
          <w:u w:val="single"/>
        </w:rPr>
      </w:pPr>
      <w:r w:rsidRPr="009A43C4">
        <w:rPr>
          <w:b/>
          <w:sz w:val="48"/>
          <w:szCs w:val="48"/>
          <w:u w:val="single"/>
        </w:rPr>
        <w:t xml:space="preserve">55,00 </w:t>
      </w:r>
      <w:bookmarkStart w:id="2" w:name="_Hlk157773122"/>
    </w:p>
    <w:p w14:paraId="3CC24408" w14:textId="57EFBE10" w:rsidR="00903C48" w:rsidRPr="005A7F92" w:rsidRDefault="00F0658B" w:rsidP="009A43C4">
      <w:pPr>
        <w:pStyle w:val="Formatvorlage1"/>
        <w:jc w:val="both"/>
        <w:rPr>
          <w:b/>
          <w:sz w:val="48"/>
          <w:szCs w:val="48"/>
        </w:rPr>
      </w:pPr>
      <w:r w:rsidRPr="00556605">
        <w:rPr>
          <w:b/>
          <w:sz w:val="32"/>
          <w:szCs w:val="32"/>
        </w:rPr>
        <w:lastRenderedPageBreak/>
        <w:t>*</w:t>
      </w:r>
      <w:r w:rsidR="00E70E46" w:rsidRPr="00556605">
        <w:rPr>
          <w:b/>
          <w:sz w:val="32"/>
          <w:szCs w:val="32"/>
        </w:rPr>
        <w:t>*</w:t>
      </w:r>
      <w:bookmarkEnd w:id="2"/>
      <w:r w:rsidR="00025B9B" w:rsidRPr="00556605">
        <w:rPr>
          <w:b/>
          <w:sz w:val="32"/>
          <w:szCs w:val="32"/>
        </w:rPr>
        <w:t>*</w:t>
      </w:r>
      <w:r w:rsidR="00E70E46">
        <w:rPr>
          <w:rFonts w:ascii="Garamond" w:hAnsi="Garamond" w:cs="Arial"/>
          <w:color w:val="000000" w:themeColor="text1"/>
        </w:rPr>
        <w:t xml:space="preserve"> </w:t>
      </w:r>
      <w:r w:rsidR="00903C48" w:rsidRPr="00903C48">
        <w:rPr>
          <w:rFonts w:ascii="Garamond" w:hAnsi="Garamond" w:cs="Arial"/>
          <w:color w:val="000000" w:themeColor="text1"/>
        </w:rPr>
        <w:t>Das </w:t>
      </w:r>
      <w:hyperlink r:id="rId12" w:tooltip="Fort" w:history="1">
        <w:r w:rsidR="00903C48" w:rsidRPr="00903C48">
          <w:rPr>
            <w:rFonts w:ascii="Garamond" w:hAnsi="Garamond" w:cs="Arial"/>
            <w:color w:val="000000" w:themeColor="text1"/>
          </w:rPr>
          <w:t>Hochwallfort</w:t>
        </w:r>
      </w:hyperlink>
      <w:r w:rsidR="00903C48" w:rsidRPr="00903C48">
        <w:rPr>
          <w:rFonts w:ascii="Garamond" w:hAnsi="Garamond" w:cs="Arial"/>
          <w:color w:val="000000" w:themeColor="text1"/>
        </w:rPr>
        <w:t> </w:t>
      </w:r>
      <w:proofErr w:type="spellStart"/>
      <w:r w:rsidR="00903C48" w:rsidRPr="00903C48">
        <w:rPr>
          <w:rFonts w:ascii="Garamond" w:hAnsi="Garamond" w:cs="Arial"/>
          <w:color w:val="000000" w:themeColor="text1"/>
        </w:rPr>
        <w:t>Grauerort</w:t>
      </w:r>
      <w:proofErr w:type="spellEnd"/>
      <w:r w:rsidR="00903C48" w:rsidRPr="00903C48">
        <w:rPr>
          <w:rFonts w:ascii="Garamond" w:hAnsi="Garamond" w:cs="Arial"/>
          <w:color w:val="000000" w:themeColor="text1"/>
        </w:rPr>
        <w:t xml:space="preserve"> ist ein </w:t>
      </w:r>
      <w:proofErr w:type="spellStart"/>
      <w:r w:rsidR="00903C48" w:rsidRPr="00903C48">
        <w:rPr>
          <w:rFonts w:ascii="Garamond" w:hAnsi="Garamond" w:cs="Arial"/>
          <w:color w:val="000000" w:themeColor="text1"/>
        </w:rPr>
        <w:t>Typbau</w:t>
      </w:r>
      <w:proofErr w:type="spellEnd"/>
      <w:r w:rsidR="00903C48" w:rsidRPr="00903C48">
        <w:rPr>
          <w:rFonts w:ascii="Garamond" w:hAnsi="Garamond" w:cs="Arial"/>
          <w:color w:val="000000" w:themeColor="text1"/>
        </w:rPr>
        <w:t xml:space="preserve"> preußischer Festungsarchitektur der zweiten Hälfte des 19. Jahrhunderts. Das Fort schmiegt sich mit seinem </w:t>
      </w:r>
      <w:proofErr w:type="spellStart"/>
      <w:r w:rsidR="00903C48" w:rsidRPr="00903C48">
        <w:rPr>
          <w:rFonts w:ascii="Garamond" w:hAnsi="Garamond" w:cs="Arial"/>
          <w:color w:val="000000" w:themeColor="text1"/>
        </w:rPr>
        <w:t>rhombusförmigen</w:t>
      </w:r>
      <w:proofErr w:type="spellEnd"/>
      <w:r w:rsidR="00903C48" w:rsidRPr="00903C48">
        <w:rPr>
          <w:rFonts w:ascii="Garamond" w:hAnsi="Garamond" w:cs="Arial"/>
          <w:color w:val="000000" w:themeColor="text1"/>
        </w:rPr>
        <w:t xml:space="preserve"> sechseckigen Grundriss, der durch einen 10 m hohen Erdwall gebildet wird, an den Elbdeich. Zur Elbe hin sind die Wälle </w:t>
      </w:r>
      <w:hyperlink r:id="rId13" w:tooltip="Kasematte" w:history="1">
        <w:r w:rsidR="00903C48" w:rsidRPr="00903C48">
          <w:rPr>
            <w:rFonts w:ascii="Garamond" w:hAnsi="Garamond" w:cs="Arial"/>
            <w:color w:val="000000" w:themeColor="text1"/>
          </w:rPr>
          <w:t>kasemattiert</w:t>
        </w:r>
      </w:hyperlink>
      <w:r w:rsidR="00903C48" w:rsidRPr="00903C48">
        <w:rPr>
          <w:rFonts w:ascii="Garamond" w:hAnsi="Garamond" w:cs="Arial"/>
          <w:color w:val="000000" w:themeColor="text1"/>
        </w:rPr>
        <w:t>. Auf den beiden 68 m langem Flanken waren je fünf moderne Hinterlader-Rücklaufgeschütze des Kalibers 28 cm aufgestellt.</w:t>
      </w:r>
    </w:p>
    <w:p w14:paraId="790F1017" w14:textId="2057C9CE" w:rsidR="00903C48" w:rsidRDefault="00903C48" w:rsidP="00903C48">
      <w:pPr>
        <w:shd w:val="clear" w:color="auto" w:fill="FFFFFF"/>
        <w:spacing w:before="120" w:after="120"/>
        <w:rPr>
          <w:rFonts w:ascii="Garamond" w:hAnsi="Garamond" w:cs="Arial"/>
          <w:color w:val="000000" w:themeColor="text1"/>
        </w:rPr>
      </w:pPr>
      <w:r w:rsidRPr="00903C48">
        <w:rPr>
          <w:rFonts w:ascii="Garamond" w:hAnsi="Garamond" w:cs="Arial"/>
          <w:color w:val="000000" w:themeColor="text1"/>
        </w:rPr>
        <w:t>Zur Elbe hin ist das </w:t>
      </w:r>
      <w:hyperlink r:id="rId14" w:tooltip="Fort" w:history="1">
        <w:r w:rsidRPr="00903C48">
          <w:rPr>
            <w:rFonts w:ascii="Garamond" w:hAnsi="Garamond" w:cs="Arial"/>
            <w:color w:val="000000" w:themeColor="text1"/>
          </w:rPr>
          <w:t>Fort</w:t>
        </w:r>
      </w:hyperlink>
      <w:r w:rsidRPr="00903C48">
        <w:rPr>
          <w:rFonts w:ascii="Garamond" w:hAnsi="Garamond" w:cs="Arial"/>
          <w:color w:val="000000" w:themeColor="text1"/>
        </w:rPr>
        <w:t> mit einer 3 m hohen </w:t>
      </w:r>
      <w:proofErr w:type="spellStart"/>
      <w:r w:rsidR="002462B3">
        <w:fldChar w:fldCharType="begin"/>
      </w:r>
      <w:r w:rsidR="002462B3">
        <w:instrText xml:space="preserve"> HYPERLINK "https://de.wikipedia.org/wiki/Eskarpemauer" \o "Eskarpemauer" </w:instrText>
      </w:r>
      <w:r w:rsidR="002462B3">
        <w:fldChar w:fldCharType="separate"/>
      </w:r>
      <w:r w:rsidRPr="00903C48">
        <w:rPr>
          <w:rFonts w:ascii="Garamond" w:hAnsi="Garamond" w:cs="Arial"/>
          <w:color w:val="000000" w:themeColor="text1"/>
        </w:rPr>
        <w:t>Escarpe</w:t>
      </w:r>
      <w:proofErr w:type="spellEnd"/>
      <w:r w:rsidR="002462B3">
        <w:rPr>
          <w:rFonts w:ascii="Garamond" w:hAnsi="Garamond" w:cs="Arial"/>
          <w:color w:val="000000" w:themeColor="text1"/>
        </w:rPr>
        <w:fldChar w:fldCharType="end"/>
      </w:r>
      <w:r w:rsidRPr="00903C48">
        <w:rPr>
          <w:rFonts w:ascii="Garamond" w:hAnsi="Garamond" w:cs="Arial"/>
          <w:color w:val="000000" w:themeColor="text1"/>
        </w:rPr>
        <w:t xml:space="preserve">- oder </w:t>
      </w:r>
      <w:proofErr w:type="spellStart"/>
      <w:r w:rsidRPr="00903C48">
        <w:rPr>
          <w:rFonts w:ascii="Garamond" w:hAnsi="Garamond" w:cs="Arial"/>
          <w:color w:val="000000" w:themeColor="text1"/>
        </w:rPr>
        <w:t>Carnot'schen</w:t>
      </w:r>
      <w:proofErr w:type="spellEnd"/>
      <w:r w:rsidRPr="00903C48">
        <w:rPr>
          <w:rFonts w:ascii="Garamond" w:hAnsi="Garamond" w:cs="Arial"/>
          <w:color w:val="000000" w:themeColor="text1"/>
        </w:rPr>
        <w:t xml:space="preserve"> Mauer gesichert, die von zwei </w:t>
      </w:r>
      <w:proofErr w:type="spellStart"/>
      <w:r w:rsidRPr="00903C48">
        <w:rPr>
          <w:rFonts w:ascii="Garamond" w:hAnsi="Garamond" w:cs="Arial"/>
          <w:color w:val="000000" w:themeColor="text1"/>
        </w:rPr>
        <w:t>Kehlgangsbunkern</w:t>
      </w:r>
      <w:proofErr w:type="spellEnd"/>
      <w:r w:rsidRPr="00903C48">
        <w:rPr>
          <w:rFonts w:ascii="Garamond" w:hAnsi="Garamond" w:cs="Arial"/>
          <w:color w:val="000000" w:themeColor="text1"/>
        </w:rPr>
        <w:t xml:space="preserve"> aus mit Geschützen und Gewehren verteidigt werden kann. Die übrigen Wälle werden durch einen 20 m breiten Graben gesichert. Den Eingang bildet eine Brücke, sie führt durch einen </w:t>
      </w:r>
      <w:proofErr w:type="spellStart"/>
      <w:r w:rsidR="002462B3">
        <w:fldChar w:fldCharType="begin"/>
      </w:r>
      <w:r w:rsidR="002462B3">
        <w:instrText xml:space="preserve"> HYPERLINK "https://de.wikipedia.org/wiki/Hohlgang" \o "Hohlgang" </w:instrText>
      </w:r>
      <w:r w:rsidR="002462B3">
        <w:fldChar w:fldCharType="separate"/>
      </w:r>
      <w:r w:rsidRPr="00903C48">
        <w:rPr>
          <w:rFonts w:ascii="Garamond" w:hAnsi="Garamond" w:cs="Arial"/>
          <w:color w:val="000000" w:themeColor="text1"/>
        </w:rPr>
        <w:t>Hohlgang</w:t>
      </w:r>
      <w:proofErr w:type="spellEnd"/>
      <w:r w:rsidR="002462B3">
        <w:rPr>
          <w:rFonts w:ascii="Garamond" w:hAnsi="Garamond" w:cs="Arial"/>
          <w:color w:val="000000" w:themeColor="text1"/>
        </w:rPr>
        <w:fldChar w:fldCharType="end"/>
      </w:r>
      <w:r w:rsidRPr="00903C48">
        <w:rPr>
          <w:rFonts w:ascii="Garamond" w:hAnsi="Garamond" w:cs="Arial"/>
          <w:color w:val="000000" w:themeColor="text1"/>
        </w:rPr>
        <w:t> in das Innere des Forts und wird durch eine </w:t>
      </w:r>
      <w:proofErr w:type="spellStart"/>
      <w:r w:rsidR="002462B3">
        <w:fldChar w:fldCharType="begin"/>
      </w:r>
      <w:r w:rsidR="002462B3">
        <w:instrText xml:space="preserve"> HYPERLINK "https://de.wikipedia.o</w:instrText>
      </w:r>
      <w:r w:rsidR="002462B3">
        <w:instrText xml:space="preserve">rg/wiki/Kaponniere" \o "Kaponniere" </w:instrText>
      </w:r>
      <w:r w:rsidR="002462B3">
        <w:fldChar w:fldCharType="separate"/>
      </w:r>
      <w:r w:rsidRPr="00903C48">
        <w:rPr>
          <w:rFonts w:ascii="Garamond" w:hAnsi="Garamond" w:cs="Arial"/>
          <w:color w:val="000000" w:themeColor="text1"/>
        </w:rPr>
        <w:t>Gewehrkaponniere</w:t>
      </w:r>
      <w:proofErr w:type="spellEnd"/>
      <w:r w:rsidR="002462B3">
        <w:rPr>
          <w:rFonts w:ascii="Garamond" w:hAnsi="Garamond" w:cs="Arial"/>
          <w:color w:val="000000" w:themeColor="text1"/>
        </w:rPr>
        <w:fldChar w:fldCharType="end"/>
      </w:r>
      <w:r w:rsidRPr="00903C48">
        <w:rPr>
          <w:rFonts w:ascii="Garamond" w:hAnsi="Garamond" w:cs="Arial"/>
          <w:color w:val="000000" w:themeColor="text1"/>
        </w:rPr>
        <w:t xml:space="preserve"> und Wachbunker gesichert. Die Brücke war seinerzeit als Zugbrücke ausgebildet; den </w:t>
      </w:r>
      <w:proofErr w:type="spellStart"/>
      <w:r w:rsidRPr="00903C48">
        <w:rPr>
          <w:rFonts w:ascii="Garamond" w:hAnsi="Garamond" w:cs="Arial"/>
          <w:color w:val="000000" w:themeColor="text1"/>
        </w:rPr>
        <w:t>Hohlgang</w:t>
      </w:r>
      <w:proofErr w:type="spellEnd"/>
      <w:r w:rsidRPr="00903C48">
        <w:rPr>
          <w:rFonts w:ascii="Garamond" w:hAnsi="Garamond" w:cs="Arial"/>
          <w:color w:val="000000" w:themeColor="text1"/>
        </w:rPr>
        <w:t xml:space="preserve"> sicherte ein </w:t>
      </w:r>
      <w:hyperlink r:id="rId15" w:tooltip="Sturmabwehrgitter (Seite nicht vorhanden)" w:history="1">
        <w:r w:rsidRPr="00903C48">
          <w:rPr>
            <w:rFonts w:ascii="Garamond" w:hAnsi="Garamond" w:cs="Arial"/>
            <w:color w:val="000000" w:themeColor="text1"/>
          </w:rPr>
          <w:t>Sturmabwehrgitter</w:t>
        </w:r>
      </w:hyperlink>
      <w:r w:rsidRPr="00903C48">
        <w:rPr>
          <w:rFonts w:ascii="Garamond" w:hAnsi="Garamond" w:cs="Arial"/>
          <w:color w:val="000000" w:themeColor="text1"/>
        </w:rPr>
        <w:t>.</w:t>
      </w:r>
    </w:p>
    <w:p w14:paraId="2A75BC3F" w14:textId="0289BC72" w:rsid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 xml:space="preserve">Das Fort wurde von der preußischen Armee von 1868 bis 1873 in der Nähe der Ortschaften </w:t>
      </w:r>
      <w:proofErr w:type="spellStart"/>
      <w:r w:rsidRPr="00F0658B">
        <w:rPr>
          <w:rFonts w:ascii="Garamond" w:hAnsi="Garamond" w:cs="Arial"/>
          <w:color w:val="000000" w:themeColor="text1"/>
        </w:rPr>
        <w:t>Barnkrug</w:t>
      </w:r>
      <w:proofErr w:type="spellEnd"/>
      <w:r w:rsidRPr="00F0658B">
        <w:rPr>
          <w:rFonts w:ascii="Garamond" w:hAnsi="Garamond" w:cs="Arial"/>
          <w:color w:val="000000" w:themeColor="text1"/>
        </w:rPr>
        <w:t xml:space="preserve"> und </w:t>
      </w:r>
      <w:proofErr w:type="spellStart"/>
      <w:r w:rsidR="002462B3">
        <w:fldChar w:fldCharType="begin"/>
      </w:r>
      <w:r w:rsidR="002462B3">
        <w:instrText xml:space="preserve"> HYPERLINK "https://de.wikipedia.org/wiki/Abbenfleth" \o "Abbenfleth" </w:instrText>
      </w:r>
      <w:r w:rsidR="002462B3">
        <w:fldChar w:fldCharType="separate"/>
      </w:r>
      <w:r w:rsidRPr="00F0658B">
        <w:rPr>
          <w:rStyle w:val="Hyperlink"/>
          <w:rFonts w:ascii="Garamond" w:hAnsi="Garamond" w:cs="Arial"/>
          <w:color w:val="000000" w:themeColor="text1"/>
          <w:u w:val="none"/>
        </w:rPr>
        <w:t>Abbenfleth</w:t>
      </w:r>
      <w:proofErr w:type="spellEnd"/>
      <w:r w:rsidR="002462B3">
        <w:rPr>
          <w:rStyle w:val="Hyperlink"/>
          <w:rFonts w:ascii="Garamond" w:hAnsi="Garamond" w:cs="Arial"/>
          <w:color w:val="000000" w:themeColor="text1"/>
          <w:u w:val="none"/>
        </w:rPr>
        <w:fldChar w:fldCharType="end"/>
      </w:r>
      <w:r w:rsidRPr="00F0658B">
        <w:rPr>
          <w:rFonts w:ascii="Garamond" w:hAnsi="Garamond" w:cs="Arial"/>
          <w:color w:val="000000" w:themeColor="text1"/>
        </w:rPr>
        <w:t> bei </w:t>
      </w:r>
      <w:hyperlink r:id="rId16" w:tooltip="Stade" w:history="1">
        <w:r w:rsidRPr="00F0658B">
          <w:rPr>
            <w:rStyle w:val="Hyperlink"/>
            <w:rFonts w:ascii="Garamond" w:hAnsi="Garamond" w:cs="Arial"/>
            <w:color w:val="000000" w:themeColor="text1"/>
            <w:u w:val="none"/>
          </w:rPr>
          <w:t>Stade</w:t>
        </w:r>
      </w:hyperlink>
      <w:r w:rsidRPr="00F0658B">
        <w:rPr>
          <w:rFonts w:ascii="Garamond" w:hAnsi="Garamond" w:cs="Arial"/>
          <w:color w:val="000000" w:themeColor="text1"/>
        </w:rPr>
        <w:t> errichtet. Die schon von den Schweden genutzte Stelle an der hohe </w:t>
      </w:r>
      <w:hyperlink r:id="rId17" w:tooltip="Marschland" w:history="1">
        <w:r w:rsidRPr="00F0658B">
          <w:rPr>
            <w:rStyle w:val="Hyperlink"/>
            <w:rFonts w:ascii="Garamond" w:hAnsi="Garamond" w:cs="Arial"/>
            <w:color w:val="000000" w:themeColor="text1"/>
            <w:u w:val="none"/>
          </w:rPr>
          <w:t>Altmarsch</w:t>
        </w:r>
      </w:hyperlink>
      <w:r w:rsidRPr="00F0658B">
        <w:rPr>
          <w:rFonts w:ascii="Garamond" w:hAnsi="Garamond" w:cs="Arial"/>
          <w:color w:val="000000" w:themeColor="text1"/>
        </w:rPr>
        <w:t xml:space="preserve"> nahe dem Fahrwasser war neben anderen Stellungen an der Elbe ideal für einen permanenten Verteidigungsbau. </w:t>
      </w:r>
    </w:p>
    <w:p w14:paraId="43699E0F" w14:textId="77777777" w:rsid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In der Zeit, in der die Spannungen mit </w:t>
      </w:r>
      <w:hyperlink r:id="rId18" w:tooltip="Zweites Kaiserreich" w:history="1">
        <w:r w:rsidRPr="00F0658B">
          <w:rPr>
            <w:rStyle w:val="Hyperlink"/>
            <w:rFonts w:ascii="Garamond" w:hAnsi="Garamond" w:cs="Arial"/>
            <w:color w:val="000000" w:themeColor="text1"/>
            <w:u w:val="none"/>
          </w:rPr>
          <w:t>Frankreich</w:t>
        </w:r>
      </w:hyperlink>
      <w:r w:rsidRPr="00F0658B">
        <w:rPr>
          <w:rFonts w:ascii="Garamond" w:hAnsi="Garamond" w:cs="Arial"/>
          <w:color w:val="000000" w:themeColor="text1"/>
        </w:rPr>
        <w:t xml:space="preserve"> zunahmen, wurde der permanente Bau unterbrochen und das Fort, so wie eine zweite provisorische Batterie </w:t>
      </w:r>
      <w:proofErr w:type="spellStart"/>
      <w:r w:rsidRPr="00F0658B">
        <w:rPr>
          <w:rFonts w:ascii="Garamond" w:hAnsi="Garamond" w:cs="Arial"/>
          <w:color w:val="000000" w:themeColor="text1"/>
        </w:rPr>
        <w:t>Grauerort</w:t>
      </w:r>
      <w:proofErr w:type="spellEnd"/>
      <w:r w:rsidRPr="00F0658B">
        <w:rPr>
          <w:rFonts w:ascii="Garamond" w:hAnsi="Garamond" w:cs="Arial"/>
          <w:color w:val="000000" w:themeColor="text1"/>
        </w:rPr>
        <w:t xml:space="preserve"> II, provisorisch fertiggestellt, um schnell einen wirksamen Schutz des </w:t>
      </w:r>
      <w:hyperlink r:id="rId19" w:tooltip="Hamburger Hafen" w:history="1">
        <w:r w:rsidRPr="00F0658B">
          <w:rPr>
            <w:rStyle w:val="Hyperlink"/>
            <w:rFonts w:ascii="Garamond" w:hAnsi="Garamond" w:cs="Arial"/>
            <w:color w:val="000000" w:themeColor="text1"/>
            <w:u w:val="none"/>
          </w:rPr>
          <w:t>Hamburger Hafens</w:t>
        </w:r>
      </w:hyperlink>
      <w:r w:rsidRPr="00F0658B">
        <w:rPr>
          <w:rFonts w:ascii="Garamond" w:hAnsi="Garamond" w:cs="Arial"/>
          <w:color w:val="000000" w:themeColor="text1"/>
        </w:rPr>
        <w:t xml:space="preserve"> zu haben. </w:t>
      </w:r>
    </w:p>
    <w:p w14:paraId="358C9C4C" w14:textId="01C37B9B" w:rsidR="002A5969" w:rsidRP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Bereits im </w:t>
      </w:r>
      <w:hyperlink r:id="rId20" w:tooltip="Deutsch-Französischer Krieg" w:history="1">
        <w:r w:rsidRPr="00F0658B">
          <w:rPr>
            <w:rStyle w:val="Hyperlink"/>
            <w:rFonts w:ascii="Garamond" w:hAnsi="Garamond" w:cs="Arial"/>
            <w:color w:val="000000" w:themeColor="text1"/>
            <w:u w:val="none"/>
          </w:rPr>
          <w:t>Deutsch-Französischen Krieg</w:t>
        </w:r>
      </w:hyperlink>
      <w:r w:rsidRPr="00F0658B">
        <w:rPr>
          <w:rFonts w:ascii="Garamond" w:hAnsi="Garamond" w:cs="Arial"/>
          <w:color w:val="000000" w:themeColor="text1"/>
        </w:rPr>
        <w:t> 1870/71 war das Fort provisorisch einsatzbereit. Es kam jedoch nicht zu Kampfhandlungen um das Fort. 1875 und 1877 wurden die Rampen und die Munitionsversorgung noch einmal verbessert.</w:t>
      </w:r>
    </w:p>
    <w:p w14:paraId="68C94D0C" w14:textId="77777777" w:rsid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Wegen der weiteren Waffenentwicklung wurde das Fort 1888</w:t>
      </w:r>
      <w:hyperlink r:id="rId21" w:anchor="cite_note-3" w:history="1">
        <w:r w:rsidRPr="00F0658B">
          <w:rPr>
            <w:rStyle w:val="Hyperlink"/>
            <w:rFonts w:ascii="Garamond" w:hAnsi="Garamond" w:cs="Arial"/>
            <w:color w:val="000000" w:themeColor="text1"/>
            <w:u w:val="none"/>
            <w:vertAlign w:val="superscript"/>
          </w:rPr>
          <w:t>[3]</w:t>
        </w:r>
      </w:hyperlink>
      <w:r w:rsidRPr="00F0658B">
        <w:rPr>
          <w:rFonts w:ascii="Garamond" w:hAnsi="Garamond" w:cs="Arial"/>
          <w:color w:val="000000" w:themeColor="text1"/>
        </w:rPr>
        <w:t xml:space="preserve"> aus der Reihe der aktiven Festungen gestrichen. </w:t>
      </w:r>
    </w:p>
    <w:p w14:paraId="76252AD5" w14:textId="74E84290" w:rsid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Ab 1917 wurde die Anlage zu einem</w:t>
      </w:r>
      <w:r w:rsidR="00F0658B">
        <w:rPr>
          <w:rFonts w:ascii="Garamond" w:hAnsi="Garamond" w:cs="Arial"/>
          <w:color w:val="000000" w:themeColor="text1"/>
        </w:rPr>
        <w:t xml:space="preserve"> </w:t>
      </w:r>
      <w:r w:rsidR="00F0658B" w:rsidRPr="00F0658B">
        <w:rPr>
          <w:rFonts w:ascii="Garamond" w:hAnsi="Garamond" w:cs="Arial"/>
          <w:color w:val="000000" w:themeColor="text1"/>
        </w:rPr>
        <w:t>provisorischen </w:t>
      </w:r>
      <w:hyperlink r:id="rId22" w:tooltip="Depot (Militär)" w:history="1">
        <w:r w:rsidR="00F0658B" w:rsidRPr="00F0658B">
          <w:rPr>
            <w:rStyle w:val="Hyperlink"/>
            <w:rFonts w:ascii="Garamond" w:hAnsi="Garamond" w:cs="Arial"/>
            <w:color w:val="000000" w:themeColor="text1"/>
            <w:u w:val="none"/>
          </w:rPr>
          <w:t>Minendepot</w:t>
        </w:r>
      </w:hyperlink>
      <w:r w:rsidR="00F0658B" w:rsidRPr="00F0658B">
        <w:rPr>
          <w:rFonts w:ascii="Garamond" w:hAnsi="Garamond" w:cs="Arial"/>
          <w:color w:val="000000" w:themeColor="text1"/>
        </w:rPr>
        <w:t> der </w:t>
      </w:r>
      <w:hyperlink r:id="rId23" w:tooltip="Kaiserliche Marine" w:history="1">
        <w:r w:rsidR="00F0658B" w:rsidRPr="00F0658B">
          <w:rPr>
            <w:rStyle w:val="Hyperlink"/>
            <w:rFonts w:ascii="Garamond" w:hAnsi="Garamond" w:cs="Arial"/>
            <w:color w:val="000000" w:themeColor="text1"/>
            <w:u w:val="none"/>
          </w:rPr>
          <w:t>Kaiserlichen</w:t>
        </w:r>
        <w:r w:rsidR="00F0658B">
          <w:rPr>
            <w:rStyle w:val="Hyperlink"/>
            <w:rFonts w:ascii="Garamond" w:hAnsi="Garamond" w:cs="Arial"/>
            <w:color w:val="000000" w:themeColor="text1"/>
            <w:u w:val="none"/>
          </w:rPr>
          <w:t xml:space="preserve"> </w:t>
        </w:r>
        <w:r w:rsidR="00F0658B" w:rsidRPr="00F0658B">
          <w:rPr>
            <w:rStyle w:val="Hyperlink"/>
            <w:rFonts w:ascii="Garamond" w:hAnsi="Garamond" w:cs="Arial"/>
            <w:color w:val="000000" w:themeColor="text1"/>
            <w:u w:val="none"/>
          </w:rPr>
          <w:t>Marine</w:t>
        </w:r>
      </w:hyperlink>
      <w:r w:rsidR="00F0658B" w:rsidRPr="00F0658B">
        <w:rPr>
          <w:rFonts w:ascii="Garamond" w:hAnsi="Garamond" w:cs="Arial"/>
          <w:color w:val="000000" w:themeColor="text1"/>
        </w:rPr>
        <w:t> umgewandelt.</w:t>
      </w:r>
    </w:p>
    <w:p w14:paraId="418985AA" w14:textId="4DB51145" w:rsid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Dazu wurde in der Folgezeit nordwestlich der Anlage außerhalb des Festungswalls ein Lagerbereich für </w:t>
      </w:r>
      <w:hyperlink r:id="rId24" w:tooltip="Munition" w:history="1">
        <w:r w:rsidRPr="00F0658B">
          <w:rPr>
            <w:rStyle w:val="Hyperlink"/>
            <w:rFonts w:ascii="Garamond" w:hAnsi="Garamond" w:cs="Arial"/>
            <w:color w:val="000000" w:themeColor="text1"/>
            <w:u w:val="none"/>
          </w:rPr>
          <w:t>Munition</w:t>
        </w:r>
      </w:hyperlink>
      <w:r w:rsidRPr="00F0658B">
        <w:rPr>
          <w:rFonts w:ascii="Garamond" w:hAnsi="Garamond" w:cs="Arial"/>
          <w:color w:val="000000" w:themeColor="text1"/>
        </w:rPr>
        <w:t xml:space="preserve"> eingerichtet. </w:t>
      </w:r>
      <w:r w:rsidR="00F0658B">
        <w:rPr>
          <w:rFonts w:ascii="Garamond" w:hAnsi="Garamond" w:cs="Arial"/>
          <w:color w:val="000000" w:themeColor="text1"/>
        </w:rPr>
        <w:t>Grauenort</w:t>
      </w:r>
      <w:r w:rsidRPr="00F0658B">
        <w:rPr>
          <w:rFonts w:ascii="Garamond" w:hAnsi="Garamond" w:cs="Arial"/>
          <w:color w:val="000000" w:themeColor="text1"/>
        </w:rPr>
        <w:t xml:space="preserve"> als Minendepot wurde nach der Explosion des Minendepots Cuxhaven-</w:t>
      </w:r>
      <w:proofErr w:type="spellStart"/>
      <w:r w:rsidRPr="00F0658B">
        <w:rPr>
          <w:rFonts w:ascii="Garamond" w:hAnsi="Garamond" w:cs="Arial"/>
          <w:color w:val="000000" w:themeColor="text1"/>
        </w:rPr>
        <w:t>Groden</w:t>
      </w:r>
      <w:proofErr w:type="spellEnd"/>
      <w:r w:rsidRPr="00F0658B">
        <w:rPr>
          <w:rFonts w:ascii="Garamond" w:hAnsi="Garamond" w:cs="Arial"/>
          <w:color w:val="000000" w:themeColor="text1"/>
        </w:rPr>
        <w:t xml:space="preserve"> im Jahre 1922 </w:t>
      </w:r>
      <w:r w:rsidR="00F0658B">
        <w:rPr>
          <w:rFonts w:ascii="Garamond" w:hAnsi="Garamond" w:cs="Arial"/>
          <w:color w:val="000000" w:themeColor="text1"/>
        </w:rPr>
        <w:t xml:space="preserve">genutzt </w:t>
      </w:r>
      <w:r w:rsidRPr="00F0658B">
        <w:rPr>
          <w:rFonts w:ascii="Garamond" w:hAnsi="Garamond" w:cs="Arial"/>
          <w:color w:val="000000" w:themeColor="text1"/>
        </w:rPr>
        <w:t>und dauerte bis zum Ende des </w:t>
      </w:r>
      <w:hyperlink r:id="rId25" w:tooltip="Zweiter Weltkrieg" w:history="1">
        <w:r w:rsidRPr="00F0658B">
          <w:rPr>
            <w:rStyle w:val="Hyperlink"/>
            <w:rFonts w:ascii="Garamond" w:hAnsi="Garamond" w:cs="Arial"/>
            <w:color w:val="000000" w:themeColor="text1"/>
            <w:u w:val="none"/>
          </w:rPr>
          <w:t>Zweiten Weltkriegs</w:t>
        </w:r>
      </w:hyperlink>
      <w:r w:rsidRPr="00F0658B">
        <w:rPr>
          <w:rFonts w:ascii="Garamond" w:hAnsi="Garamond" w:cs="Arial"/>
          <w:color w:val="000000" w:themeColor="text1"/>
        </w:rPr>
        <w:t xml:space="preserve"> an. 1926 wurde eine 250 m lange Landungsbrücke in die Elbe erbaut, über die direkt Schiffe </w:t>
      </w:r>
      <w:proofErr w:type="spellStart"/>
      <w:r w:rsidRPr="00F0658B">
        <w:rPr>
          <w:rFonts w:ascii="Garamond" w:hAnsi="Garamond" w:cs="Arial"/>
          <w:color w:val="000000" w:themeColor="text1"/>
        </w:rPr>
        <w:t>be</w:t>
      </w:r>
      <w:proofErr w:type="spellEnd"/>
      <w:r w:rsidRPr="00F0658B">
        <w:rPr>
          <w:rFonts w:ascii="Garamond" w:hAnsi="Garamond" w:cs="Arial"/>
          <w:color w:val="000000" w:themeColor="text1"/>
        </w:rPr>
        <w:t xml:space="preserve">- und entladen werden konnten. </w:t>
      </w:r>
    </w:p>
    <w:p w14:paraId="6E54E506" w14:textId="2F072E57" w:rsidR="002A5969" w:rsidRPr="00F0658B" w:rsidRDefault="002A5969" w:rsidP="00F0658B">
      <w:pPr>
        <w:pStyle w:val="StandardWeb"/>
        <w:spacing w:before="120" w:beforeAutospacing="0" w:after="120" w:afterAutospacing="0"/>
        <w:rPr>
          <w:rFonts w:ascii="Garamond" w:hAnsi="Garamond" w:cs="Arial"/>
          <w:color w:val="000000" w:themeColor="text1"/>
        </w:rPr>
      </w:pPr>
      <w:r w:rsidRPr="00F0658B">
        <w:rPr>
          <w:rFonts w:ascii="Garamond" w:hAnsi="Garamond" w:cs="Arial"/>
          <w:color w:val="000000" w:themeColor="text1"/>
        </w:rPr>
        <w:t>Im Zweiten Weltkrieg kamen zwei </w:t>
      </w:r>
      <w:hyperlink r:id="rId26" w:tooltip="Flugabwehrkanone" w:history="1">
        <w:r w:rsidRPr="00F0658B">
          <w:rPr>
            <w:rStyle w:val="Hyperlink"/>
            <w:rFonts w:ascii="Garamond" w:hAnsi="Garamond" w:cs="Arial"/>
            <w:color w:val="000000" w:themeColor="text1"/>
            <w:u w:val="none"/>
          </w:rPr>
          <w:t>Flakgeschütze</w:t>
        </w:r>
      </w:hyperlink>
      <w:r w:rsidRPr="00F0658B">
        <w:rPr>
          <w:rFonts w:ascii="Garamond" w:hAnsi="Garamond" w:cs="Arial"/>
          <w:color w:val="000000" w:themeColor="text1"/>
        </w:rPr>
        <w:t> auf dem Fort zum Einsatz.</w:t>
      </w:r>
    </w:p>
    <w:p w14:paraId="49E31A14" w14:textId="77777777" w:rsidR="002A5969" w:rsidRPr="00F0658B" w:rsidRDefault="002A5969" w:rsidP="002A5969">
      <w:pPr>
        <w:pStyle w:val="StandardWeb"/>
        <w:spacing w:before="120" w:beforeAutospacing="0" w:after="120" w:afterAutospacing="0"/>
        <w:jc w:val="both"/>
        <w:rPr>
          <w:rFonts w:ascii="Garamond" w:hAnsi="Garamond" w:cs="Arial"/>
          <w:color w:val="000000" w:themeColor="text1"/>
        </w:rPr>
      </w:pPr>
      <w:r w:rsidRPr="00F0658B">
        <w:rPr>
          <w:rFonts w:ascii="Garamond" w:hAnsi="Garamond" w:cs="Arial"/>
          <w:color w:val="000000" w:themeColor="text1"/>
        </w:rPr>
        <w:t>Am Ende des Kriegs beschlagnahmte die britische Armee das Fort, das nicht zerstört wurde und bis zum Ende der 1950er Jahre eine Verwendung als Notunterkunft fand.</w:t>
      </w:r>
    </w:p>
    <w:p w14:paraId="286C57B2" w14:textId="77777777" w:rsidR="002A5969" w:rsidRPr="00F0658B" w:rsidRDefault="002A5969" w:rsidP="002A5969">
      <w:pPr>
        <w:pStyle w:val="StandardWeb"/>
        <w:spacing w:before="120" w:beforeAutospacing="0" w:after="120" w:afterAutospacing="0"/>
        <w:jc w:val="both"/>
        <w:rPr>
          <w:rFonts w:ascii="Garamond" w:hAnsi="Garamond" w:cs="Arial"/>
          <w:color w:val="000000" w:themeColor="text1"/>
        </w:rPr>
      </w:pPr>
      <w:r w:rsidRPr="00F0658B">
        <w:rPr>
          <w:rFonts w:ascii="Garamond" w:hAnsi="Garamond" w:cs="Arial"/>
          <w:color w:val="000000" w:themeColor="text1"/>
        </w:rPr>
        <w:t>Ab 1960 hat die </w:t>
      </w:r>
      <w:proofErr w:type="spellStart"/>
      <w:r w:rsidR="002462B3">
        <w:fldChar w:fldCharType="begin"/>
      </w:r>
      <w:r w:rsidR="002462B3">
        <w:instrText xml:space="preserve"> HYPERLINK "https://de.wikipedia.org/wiki/Delaborierung" \o "</w:instrText>
      </w:r>
      <w:r w:rsidR="002462B3">
        <w:instrText xml:space="preserve">Delaborierung" </w:instrText>
      </w:r>
      <w:r w:rsidR="002462B3">
        <w:fldChar w:fldCharType="separate"/>
      </w:r>
      <w:r w:rsidRPr="00F0658B">
        <w:rPr>
          <w:rStyle w:val="Hyperlink"/>
          <w:rFonts w:ascii="Garamond" w:hAnsi="Garamond" w:cs="Arial"/>
          <w:color w:val="000000" w:themeColor="text1"/>
          <w:u w:val="none"/>
        </w:rPr>
        <w:t>Delaborierungsfirma</w:t>
      </w:r>
      <w:proofErr w:type="spellEnd"/>
      <w:r w:rsidR="002462B3">
        <w:rPr>
          <w:rStyle w:val="Hyperlink"/>
          <w:rFonts w:ascii="Garamond" w:hAnsi="Garamond" w:cs="Arial"/>
          <w:color w:val="000000" w:themeColor="text1"/>
          <w:u w:val="none"/>
        </w:rPr>
        <w:fldChar w:fldCharType="end"/>
      </w:r>
      <w:r w:rsidRPr="00F0658B">
        <w:rPr>
          <w:rFonts w:ascii="Garamond" w:hAnsi="Garamond" w:cs="Arial"/>
          <w:color w:val="000000" w:themeColor="text1"/>
        </w:rPr>
        <w:t> </w:t>
      </w:r>
      <w:hyperlink r:id="rId27" w:tooltip="Kaus &amp; Steinhausen" w:history="1">
        <w:r w:rsidRPr="00F0658B">
          <w:rPr>
            <w:rStyle w:val="Hyperlink"/>
            <w:rFonts w:ascii="Garamond" w:hAnsi="Garamond" w:cs="Arial"/>
            <w:color w:val="000000" w:themeColor="text1"/>
            <w:u w:val="none"/>
          </w:rPr>
          <w:t>Kaus &amp; Steinhausen</w:t>
        </w:r>
      </w:hyperlink>
      <w:r w:rsidRPr="00F0658B">
        <w:rPr>
          <w:rFonts w:ascii="Garamond" w:hAnsi="Garamond" w:cs="Arial"/>
          <w:color w:val="000000" w:themeColor="text1"/>
        </w:rPr>
        <w:t xml:space="preserve"> in der Liegenschaft Munition zerlegt. Kaus &amp; Steinhausen zogen mit ihrem Betrieb 1985 aus Sicherheitsgründen in die ehemalige Sprengstofffabrik </w:t>
      </w:r>
      <w:proofErr w:type="spellStart"/>
      <w:r w:rsidRPr="00F0658B">
        <w:rPr>
          <w:rFonts w:ascii="Garamond" w:hAnsi="Garamond" w:cs="Arial"/>
          <w:color w:val="000000" w:themeColor="text1"/>
        </w:rPr>
        <w:t>Dragahn</w:t>
      </w:r>
      <w:proofErr w:type="spellEnd"/>
      <w:r w:rsidRPr="00F0658B">
        <w:rPr>
          <w:rFonts w:ascii="Garamond" w:hAnsi="Garamond" w:cs="Arial"/>
          <w:color w:val="000000" w:themeColor="text1"/>
        </w:rPr>
        <w:t xml:space="preserve"> um.</w:t>
      </w:r>
    </w:p>
    <w:p w14:paraId="5F6D06C1" w14:textId="3DFBCF3B" w:rsidR="002A5969" w:rsidRPr="00F0658B" w:rsidRDefault="002A5969" w:rsidP="002A5969">
      <w:pPr>
        <w:pStyle w:val="StandardWeb"/>
        <w:spacing w:before="120" w:beforeAutospacing="0" w:after="120" w:afterAutospacing="0"/>
        <w:jc w:val="both"/>
        <w:rPr>
          <w:rFonts w:ascii="Garamond" w:hAnsi="Garamond" w:cs="Arial"/>
          <w:color w:val="000000" w:themeColor="text1"/>
        </w:rPr>
      </w:pPr>
      <w:proofErr w:type="spellStart"/>
      <w:r w:rsidRPr="00F0658B">
        <w:rPr>
          <w:rFonts w:ascii="Garamond" w:hAnsi="Garamond" w:cs="Arial"/>
          <w:color w:val="000000" w:themeColor="text1"/>
        </w:rPr>
        <w:t>Grauerort</w:t>
      </w:r>
      <w:proofErr w:type="spellEnd"/>
      <w:r w:rsidRPr="00F0658B">
        <w:rPr>
          <w:rFonts w:ascii="Garamond" w:hAnsi="Garamond" w:cs="Arial"/>
          <w:color w:val="000000" w:themeColor="text1"/>
        </w:rPr>
        <w:t xml:space="preserve"> verfiel danach mehr und mehr, bis sich ab 1997 ein Verein um den Erhalt der Anlage zu kümmern begann. Die nachträglichen Einbauten werden jetzt wieder entfernt, um die denkmalgeschützte Anlage wieder in den Ursprungszustand zu versetzen und als modernes Museum nutzen zu können.</w:t>
      </w:r>
      <w:r w:rsidR="00E70E46">
        <w:rPr>
          <w:rFonts w:ascii="Garamond" w:hAnsi="Garamond" w:cs="Arial"/>
          <w:color w:val="000000" w:themeColor="text1"/>
        </w:rPr>
        <w:t xml:space="preserve"> (</w:t>
      </w:r>
      <w:r w:rsidR="00E70E46" w:rsidRPr="00E70E46">
        <w:rPr>
          <w:rFonts w:ascii="Garamond" w:hAnsi="Garamond" w:cs="Arial"/>
          <w:color w:val="000000" w:themeColor="text1"/>
          <w:sz w:val="20"/>
          <w:szCs w:val="20"/>
        </w:rPr>
        <w:t>Internet</w:t>
      </w:r>
      <w:r w:rsidR="00E70E46">
        <w:rPr>
          <w:rFonts w:ascii="Garamond" w:hAnsi="Garamond" w:cs="Arial"/>
          <w:color w:val="000000" w:themeColor="text1"/>
        </w:rPr>
        <w:t>)</w:t>
      </w:r>
    </w:p>
    <w:p w14:paraId="72D18665" w14:textId="77777777" w:rsidR="002A5969" w:rsidRPr="00F0658B" w:rsidRDefault="002A5969" w:rsidP="002A5969">
      <w:pPr>
        <w:pStyle w:val="Formatvorlage1"/>
        <w:jc w:val="both"/>
        <w:rPr>
          <w:rFonts w:ascii="Garamond" w:hAnsi="Garamond"/>
          <w:b/>
          <w:bCs/>
          <w:u w:val="single"/>
        </w:rPr>
      </w:pPr>
    </w:p>
    <w:p w14:paraId="585E3518" w14:textId="77777777" w:rsidR="0054023C" w:rsidRDefault="0054023C" w:rsidP="002A5969">
      <w:pPr>
        <w:pStyle w:val="Formatvorlage1"/>
        <w:jc w:val="both"/>
        <w:rPr>
          <w:b/>
          <w:sz w:val="28"/>
          <w:szCs w:val="28"/>
          <w:u w:val="single"/>
        </w:rPr>
      </w:pPr>
    </w:p>
    <w:p w14:paraId="2F0DD9E6" w14:textId="77777777" w:rsidR="001F3A0B" w:rsidRDefault="001F3A0B" w:rsidP="002A5969">
      <w:pPr>
        <w:jc w:val="both"/>
      </w:pPr>
    </w:p>
    <w:sectPr w:rsidR="001F3A0B" w:rsidSect="006D5321">
      <w:pgSz w:w="11906" w:h="16838"/>
      <w:pgMar w:top="851" w:right="849"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0B272" w16cid:durableId="279F86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4023C"/>
    <w:rsid w:val="000148A8"/>
    <w:rsid w:val="00025B9B"/>
    <w:rsid w:val="000364F6"/>
    <w:rsid w:val="000460AF"/>
    <w:rsid w:val="001F3A0B"/>
    <w:rsid w:val="00225BCA"/>
    <w:rsid w:val="00230D3F"/>
    <w:rsid w:val="00241BAD"/>
    <w:rsid w:val="002462B3"/>
    <w:rsid w:val="002A5969"/>
    <w:rsid w:val="002B55BC"/>
    <w:rsid w:val="003038C0"/>
    <w:rsid w:val="00307133"/>
    <w:rsid w:val="003D1B3E"/>
    <w:rsid w:val="00425067"/>
    <w:rsid w:val="00433528"/>
    <w:rsid w:val="004C2909"/>
    <w:rsid w:val="0054023C"/>
    <w:rsid w:val="005A7F92"/>
    <w:rsid w:val="006D5321"/>
    <w:rsid w:val="007234CF"/>
    <w:rsid w:val="00734187"/>
    <w:rsid w:val="00774DD1"/>
    <w:rsid w:val="00816498"/>
    <w:rsid w:val="00895A00"/>
    <w:rsid w:val="00903C48"/>
    <w:rsid w:val="00935719"/>
    <w:rsid w:val="00944355"/>
    <w:rsid w:val="009A43C4"/>
    <w:rsid w:val="00AB0FFE"/>
    <w:rsid w:val="00AF3ECF"/>
    <w:rsid w:val="00B047F0"/>
    <w:rsid w:val="00B07954"/>
    <w:rsid w:val="00BF54FF"/>
    <w:rsid w:val="00C76506"/>
    <w:rsid w:val="00D20ECF"/>
    <w:rsid w:val="00DD0AAD"/>
    <w:rsid w:val="00E373C2"/>
    <w:rsid w:val="00E70E46"/>
    <w:rsid w:val="00EB0B12"/>
    <w:rsid w:val="00F0658B"/>
    <w:rsid w:val="00F503D7"/>
    <w:rsid w:val="00F624C9"/>
    <w:rsid w:val="00FD3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D38DAD"/>
  <w15:chartTrackingRefBased/>
  <w15:docId w15:val="{E632BAE5-5263-4F06-91A2-4BED4115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23C"/>
    <w:pPr>
      <w:spacing w:after="0" w:line="240" w:lineRule="auto"/>
    </w:pPr>
    <w:rPr>
      <w:rFonts w:ascii="Times New Roman" w:eastAsia="Times New Roman" w:hAnsi="Times New Roman" w:cs="Times New Roman"/>
      <w:kern w:val="0"/>
      <w:sz w:val="24"/>
      <w:szCs w:val="24"/>
      <w:lang w:eastAsia="de-DE"/>
      <w14:ligatures w14:val="none"/>
    </w:rPr>
  </w:style>
  <w:style w:type="paragraph" w:styleId="berschrift1">
    <w:name w:val="heading 1"/>
    <w:basedOn w:val="Standard"/>
    <w:next w:val="Standard"/>
    <w:link w:val="berschrift1Zchn"/>
    <w:qFormat/>
    <w:rsid w:val="0054023C"/>
    <w:pPr>
      <w:keepNext/>
      <w:jc w:val="center"/>
      <w:outlineLvl w:val="0"/>
    </w:pPr>
    <w:rPr>
      <w:rFonts w:ascii="Mistral" w:hAnsi="Mistral"/>
      <w:sz w:val="44"/>
    </w:rPr>
  </w:style>
  <w:style w:type="paragraph" w:styleId="berschrift2">
    <w:name w:val="heading 2"/>
    <w:basedOn w:val="Standard"/>
    <w:next w:val="Standard"/>
    <w:link w:val="berschrift2Zchn"/>
    <w:qFormat/>
    <w:rsid w:val="0054023C"/>
    <w:pPr>
      <w:keepNext/>
      <w:jc w:val="both"/>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4023C"/>
    <w:rPr>
      <w:rFonts w:ascii="Mistral" w:eastAsia="Times New Roman" w:hAnsi="Mistral" w:cs="Times New Roman"/>
      <w:kern w:val="0"/>
      <w:sz w:val="44"/>
      <w:szCs w:val="24"/>
      <w:lang w:eastAsia="de-DE"/>
      <w14:ligatures w14:val="none"/>
    </w:rPr>
  </w:style>
  <w:style w:type="character" w:customStyle="1" w:styleId="berschrift2Zchn">
    <w:name w:val="Überschrift 2 Zchn"/>
    <w:basedOn w:val="Absatz-Standardschriftart"/>
    <w:link w:val="berschrift2"/>
    <w:rsid w:val="0054023C"/>
    <w:rPr>
      <w:rFonts w:ascii="Times New Roman" w:eastAsia="Times New Roman" w:hAnsi="Times New Roman" w:cs="Times New Roman"/>
      <w:b/>
      <w:bCs/>
      <w:i/>
      <w:iCs/>
      <w:kern w:val="0"/>
      <w:sz w:val="24"/>
      <w:szCs w:val="24"/>
      <w:lang w:eastAsia="de-DE"/>
      <w14:ligatures w14:val="none"/>
    </w:rPr>
  </w:style>
  <w:style w:type="paragraph" w:customStyle="1" w:styleId="Formatvorlage1">
    <w:name w:val="Formatvorlage1"/>
    <w:basedOn w:val="Textkrper2"/>
    <w:rsid w:val="0054023C"/>
    <w:pPr>
      <w:spacing w:after="0" w:line="240" w:lineRule="auto"/>
    </w:pPr>
  </w:style>
  <w:style w:type="character" w:styleId="Hyperlink">
    <w:name w:val="Hyperlink"/>
    <w:uiPriority w:val="99"/>
    <w:semiHidden/>
    <w:unhideWhenUsed/>
    <w:rsid w:val="0054023C"/>
    <w:rPr>
      <w:color w:val="0000FF"/>
      <w:u w:val="single"/>
    </w:rPr>
  </w:style>
  <w:style w:type="character" w:styleId="Kommentarzeichen">
    <w:name w:val="annotation reference"/>
    <w:uiPriority w:val="99"/>
    <w:semiHidden/>
    <w:unhideWhenUsed/>
    <w:rsid w:val="0054023C"/>
    <w:rPr>
      <w:sz w:val="16"/>
      <w:szCs w:val="16"/>
    </w:rPr>
  </w:style>
  <w:style w:type="paragraph" w:styleId="Kommentartext">
    <w:name w:val="annotation text"/>
    <w:basedOn w:val="Standard"/>
    <w:link w:val="KommentartextZchn"/>
    <w:uiPriority w:val="99"/>
    <w:semiHidden/>
    <w:unhideWhenUsed/>
    <w:rsid w:val="0054023C"/>
    <w:rPr>
      <w:sz w:val="20"/>
      <w:szCs w:val="20"/>
    </w:rPr>
  </w:style>
  <w:style w:type="character" w:customStyle="1" w:styleId="KommentartextZchn">
    <w:name w:val="Kommentartext Zchn"/>
    <w:basedOn w:val="Absatz-Standardschriftart"/>
    <w:link w:val="Kommentartext"/>
    <w:uiPriority w:val="99"/>
    <w:semiHidden/>
    <w:rsid w:val="0054023C"/>
    <w:rPr>
      <w:rFonts w:ascii="Times New Roman" w:eastAsia="Times New Roman" w:hAnsi="Times New Roman" w:cs="Times New Roman"/>
      <w:kern w:val="0"/>
      <w:sz w:val="20"/>
      <w:szCs w:val="20"/>
      <w:lang w:eastAsia="de-DE"/>
      <w14:ligatures w14:val="none"/>
    </w:rPr>
  </w:style>
  <w:style w:type="paragraph" w:styleId="Textkrper2">
    <w:name w:val="Body Text 2"/>
    <w:basedOn w:val="Standard"/>
    <w:link w:val="Textkrper2Zchn"/>
    <w:uiPriority w:val="99"/>
    <w:semiHidden/>
    <w:unhideWhenUsed/>
    <w:rsid w:val="0054023C"/>
    <w:pPr>
      <w:spacing w:after="120" w:line="480" w:lineRule="auto"/>
    </w:pPr>
  </w:style>
  <w:style w:type="character" w:customStyle="1" w:styleId="Textkrper2Zchn">
    <w:name w:val="Textkörper 2 Zchn"/>
    <w:basedOn w:val="Absatz-Standardschriftart"/>
    <w:link w:val="Textkrper2"/>
    <w:uiPriority w:val="99"/>
    <w:semiHidden/>
    <w:rsid w:val="0054023C"/>
    <w:rPr>
      <w:rFonts w:ascii="Times New Roman" w:eastAsia="Times New Roman" w:hAnsi="Times New Roman" w:cs="Times New Roman"/>
      <w:kern w:val="0"/>
      <w:sz w:val="24"/>
      <w:szCs w:val="24"/>
      <w:lang w:eastAsia="de-DE"/>
      <w14:ligatures w14:val="none"/>
    </w:rPr>
  </w:style>
  <w:style w:type="paragraph" w:styleId="StandardWeb">
    <w:name w:val="Normal (Web)"/>
    <w:basedOn w:val="Standard"/>
    <w:uiPriority w:val="99"/>
    <w:unhideWhenUsed/>
    <w:rsid w:val="00935719"/>
    <w:pPr>
      <w:spacing w:before="100" w:beforeAutospacing="1" w:after="100" w:afterAutospacing="1"/>
    </w:pPr>
  </w:style>
  <w:style w:type="paragraph" w:styleId="Beschriftung">
    <w:name w:val="caption"/>
    <w:basedOn w:val="Standard"/>
    <w:next w:val="Standard"/>
    <w:uiPriority w:val="35"/>
    <w:unhideWhenUsed/>
    <w:qFormat/>
    <w:rsid w:val="00E70E46"/>
    <w:pPr>
      <w:spacing w:after="200"/>
    </w:pPr>
    <w:rPr>
      <w:i/>
      <w:iCs/>
      <w:color w:val="1F497D" w:themeColor="text2"/>
      <w:sz w:val="18"/>
      <w:szCs w:val="18"/>
    </w:rPr>
  </w:style>
  <w:style w:type="paragraph" w:styleId="Sprechblasentext">
    <w:name w:val="Balloon Text"/>
    <w:basedOn w:val="Standard"/>
    <w:link w:val="SprechblasentextZchn"/>
    <w:uiPriority w:val="99"/>
    <w:semiHidden/>
    <w:unhideWhenUsed/>
    <w:rsid w:val="000148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8A8"/>
    <w:rPr>
      <w:rFonts w:ascii="Segoe UI" w:eastAsia="Times New Roman" w:hAnsi="Segoe UI" w:cs="Segoe UI"/>
      <w:kern w:val="0"/>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2893">
      <w:bodyDiv w:val="1"/>
      <w:marLeft w:val="0"/>
      <w:marRight w:val="0"/>
      <w:marTop w:val="0"/>
      <w:marBottom w:val="0"/>
      <w:divBdr>
        <w:top w:val="none" w:sz="0" w:space="0" w:color="auto"/>
        <w:left w:val="none" w:sz="0" w:space="0" w:color="auto"/>
        <w:bottom w:val="none" w:sz="0" w:space="0" w:color="auto"/>
        <w:right w:val="none" w:sz="0" w:space="0" w:color="auto"/>
      </w:divBdr>
    </w:div>
    <w:div w:id="576326401">
      <w:bodyDiv w:val="1"/>
      <w:marLeft w:val="0"/>
      <w:marRight w:val="0"/>
      <w:marTop w:val="0"/>
      <w:marBottom w:val="0"/>
      <w:divBdr>
        <w:top w:val="none" w:sz="0" w:space="0" w:color="auto"/>
        <w:left w:val="none" w:sz="0" w:space="0" w:color="auto"/>
        <w:bottom w:val="none" w:sz="0" w:space="0" w:color="auto"/>
        <w:right w:val="none" w:sz="0" w:space="0" w:color="auto"/>
      </w:divBdr>
    </w:div>
    <w:div w:id="947351704">
      <w:bodyDiv w:val="1"/>
      <w:marLeft w:val="0"/>
      <w:marRight w:val="0"/>
      <w:marTop w:val="0"/>
      <w:marBottom w:val="0"/>
      <w:divBdr>
        <w:top w:val="none" w:sz="0" w:space="0" w:color="auto"/>
        <w:left w:val="none" w:sz="0" w:space="0" w:color="auto"/>
        <w:bottom w:val="none" w:sz="0" w:space="0" w:color="auto"/>
        <w:right w:val="none" w:sz="0" w:space="0" w:color="auto"/>
      </w:divBdr>
    </w:div>
    <w:div w:id="1625623583">
      <w:bodyDiv w:val="1"/>
      <w:marLeft w:val="0"/>
      <w:marRight w:val="0"/>
      <w:marTop w:val="0"/>
      <w:marBottom w:val="0"/>
      <w:divBdr>
        <w:top w:val="none" w:sz="0" w:space="0" w:color="auto"/>
        <w:left w:val="none" w:sz="0" w:space="0" w:color="auto"/>
        <w:bottom w:val="none" w:sz="0" w:space="0" w:color="auto"/>
        <w:right w:val="none" w:sz="0" w:space="0" w:color="auto"/>
      </w:divBdr>
    </w:div>
    <w:div w:id="1736783128">
      <w:bodyDiv w:val="1"/>
      <w:marLeft w:val="0"/>
      <w:marRight w:val="0"/>
      <w:marTop w:val="0"/>
      <w:marBottom w:val="0"/>
      <w:divBdr>
        <w:top w:val="none" w:sz="0" w:space="0" w:color="auto"/>
        <w:left w:val="none" w:sz="0" w:space="0" w:color="auto"/>
        <w:bottom w:val="none" w:sz="0" w:space="0" w:color="auto"/>
        <w:right w:val="none" w:sz="0" w:space="0" w:color="auto"/>
      </w:divBdr>
    </w:div>
    <w:div w:id="19844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de.wikipedia.org/wiki/Kasematte" TargetMode="External"/><Relationship Id="rId18" Type="http://schemas.openxmlformats.org/officeDocument/2006/relationships/hyperlink" Target="https://de.wikipedia.org/wiki/Zweites_Kaiserreich" TargetMode="External"/><Relationship Id="rId26" Type="http://schemas.openxmlformats.org/officeDocument/2006/relationships/hyperlink" Target="https://de.wikipedia.org/wiki/Flugabwehrkanone" TargetMode="External"/><Relationship Id="rId3" Type="http://schemas.openxmlformats.org/officeDocument/2006/relationships/webSettings" Target="webSettings.xml"/><Relationship Id="rId21" Type="http://schemas.openxmlformats.org/officeDocument/2006/relationships/hyperlink" Target="https://de.wikipedia.org/wiki/Festung_Grauerort" TargetMode="External"/><Relationship Id="rId7" Type="http://schemas.openxmlformats.org/officeDocument/2006/relationships/image" Target="media/image4.jpeg"/><Relationship Id="rId12" Type="http://schemas.openxmlformats.org/officeDocument/2006/relationships/hyperlink" Target="https://de.wikipedia.org/wiki/Fort" TargetMode="External"/><Relationship Id="rId17" Type="http://schemas.openxmlformats.org/officeDocument/2006/relationships/hyperlink" Target="https://de.wikipedia.org/wiki/Marschland" TargetMode="External"/><Relationship Id="rId25" Type="http://schemas.openxmlformats.org/officeDocument/2006/relationships/hyperlink" Target="https://de.wikipedia.org/wiki/Zweiter_Weltkrieg" TargetMode="External"/><Relationship Id="rId2" Type="http://schemas.openxmlformats.org/officeDocument/2006/relationships/settings" Target="settings.xml"/><Relationship Id="rId16" Type="http://schemas.openxmlformats.org/officeDocument/2006/relationships/hyperlink" Target="https://de.wikipedia.org/wiki/Stade" TargetMode="External"/><Relationship Id="rId20" Type="http://schemas.openxmlformats.org/officeDocument/2006/relationships/hyperlink" Target="https://de.wikipedia.org/wiki/Deutsch-Franz%C3%B6sischer_Kri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de.wikipedia.org/wiki/Munition" TargetMode="External"/><Relationship Id="rId5" Type="http://schemas.openxmlformats.org/officeDocument/2006/relationships/image" Target="media/image2.jpeg"/><Relationship Id="rId15" Type="http://schemas.openxmlformats.org/officeDocument/2006/relationships/hyperlink" Target="https://de.wikipedia.org/w/index.php?title=Sturmabwehrgitter&amp;action=edit&amp;redlink=1" TargetMode="External"/><Relationship Id="rId23" Type="http://schemas.openxmlformats.org/officeDocument/2006/relationships/hyperlink" Target="https://de.wikipedia.org/wiki/Kaiserliche_Marine" TargetMode="External"/><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de.wikipedia.org/wiki/Hamburger_Hafen"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de.wikipedia.org/wiki/Fort" TargetMode="External"/><Relationship Id="rId22" Type="http://schemas.openxmlformats.org/officeDocument/2006/relationships/hyperlink" Target="https://de.wikipedia.org/wiki/Depot_(Milit%C3%A4r)" TargetMode="External"/><Relationship Id="rId27" Type="http://schemas.openxmlformats.org/officeDocument/2006/relationships/hyperlink" Target="https://de.wikipedia.org/wiki/Kaus_%26_Steinhausen" TargetMode="External"/><Relationship Id="rId35"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Harfst</dc:creator>
  <cp:keywords/>
  <dc:description/>
  <cp:lastModifiedBy>Schmidt,Manfred</cp:lastModifiedBy>
  <cp:revision>19</cp:revision>
  <cp:lastPrinted>2024-02-06T12:48:00Z</cp:lastPrinted>
  <dcterms:created xsi:type="dcterms:W3CDTF">2024-02-02T06:02:00Z</dcterms:created>
  <dcterms:modified xsi:type="dcterms:W3CDTF">2024-02-13T07:09:00Z</dcterms:modified>
</cp:coreProperties>
</file>